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B5343E" w14:textId="77777777" w:rsidR="002E302D" w:rsidRDefault="00850400" w:rsidP="000D32D1">
      <w:pPr>
        <w:rPr>
          <w:kern w:val="1"/>
        </w:rPr>
      </w:pPr>
      <w:bookmarkStart w:id="0" w:name="_GoBack"/>
      <w:bookmarkEnd w:id="0"/>
      <w:r>
        <w:rPr>
          <w:noProof/>
          <w:lang w:val="nb-NO" w:eastAsia="nb-NO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616BE7D8" wp14:editId="03AA2BEE">
                <wp:simplePos x="0" y="0"/>
                <wp:positionH relativeFrom="margin">
                  <wp:posOffset>-68580</wp:posOffset>
                </wp:positionH>
                <wp:positionV relativeFrom="paragraph">
                  <wp:posOffset>-660400</wp:posOffset>
                </wp:positionV>
                <wp:extent cx="6125210" cy="618490"/>
                <wp:effectExtent l="7620" t="6350" r="1270" b="381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618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18"/>
                              <w:gridCol w:w="2392"/>
                              <w:gridCol w:w="6138"/>
                            </w:tblGrid>
                            <w:tr w:rsidR="002E302D" w14:paraId="39E1F8A1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1118" w:type="dxa"/>
                                  <w:shd w:val="clear" w:color="auto" w:fill="auto"/>
                                </w:tcPr>
                                <w:p w14:paraId="3B18F75F" w14:textId="77777777" w:rsidR="002E302D" w:rsidRDefault="00D205CB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val="nb-NO" w:eastAsia="nb-NO"/>
                                    </w:rPr>
                                    <w:drawing>
                                      <wp:inline distT="0" distB="0" distL="0" distR="0" wp14:anchorId="0E1B6D7E" wp14:editId="4D44396A">
                                        <wp:extent cx="571500" cy="542925"/>
                                        <wp:effectExtent l="1905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1500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shd w:val="clear" w:color="auto" w:fill="auto"/>
                                </w:tcPr>
                                <w:p w14:paraId="47D6D698" w14:textId="77777777" w:rsidR="002E302D" w:rsidRDefault="00D47AE1">
                                  <w:pPr>
                                    <w:pStyle w:val="Header"/>
                                    <w:spacing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POAC’1</w:t>
                                  </w:r>
                                  <w:r w:rsidR="00850400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</w:p>
                                <w:p w14:paraId="17F37251" w14:textId="77777777" w:rsidR="002E302D" w:rsidRDefault="00850400" w:rsidP="00850400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Trondheim</w:t>
                                  </w:r>
                                  <w:r w:rsidR="00D47AE1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Norway</w:t>
                                  </w:r>
                                </w:p>
                              </w:tc>
                              <w:tc>
                                <w:tcPr>
                                  <w:tcW w:w="6138" w:type="dxa"/>
                                  <w:shd w:val="clear" w:color="auto" w:fill="auto"/>
                                </w:tcPr>
                                <w:p w14:paraId="717552E2" w14:textId="008B6A42" w:rsidR="002E302D" w:rsidRDefault="00D47AE1">
                                  <w:pPr>
                                    <w:pStyle w:val="Header"/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Proceedings of the 2</w:t>
                                  </w:r>
                                  <w:r w:rsidR="008504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</w:t>
                                  </w:r>
                                  <w:r w:rsidR="009D5B1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International Conference on</w:t>
                                  </w:r>
                                </w:p>
                                <w:p w14:paraId="3CF9908D" w14:textId="77777777" w:rsidR="002E302D" w:rsidRDefault="00D47AE1">
                                  <w:pPr>
                                    <w:pStyle w:val="Header"/>
                                    <w:spacing w:after="0"/>
                                    <w:jc w:val="right"/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Port and Ocean Engineering under Arctic Conditions</w:t>
                                  </w:r>
                                </w:p>
                                <w:p w14:paraId="4D2B5327" w14:textId="77777777" w:rsidR="002E302D" w:rsidRDefault="00D47AE1">
                                  <w:pPr>
                                    <w:pStyle w:val="Header"/>
                                    <w:spacing w:after="0"/>
                                    <w:jc w:val="right"/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r w:rsidR="00850400"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-1</w:t>
                                  </w:r>
                                  <w:r w:rsidR="00850400"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, 201</w:t>
                                  </w:r>
                                  <w:r w:rsidR="00850400"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14:paraId="1221E885" w14:textId="77777777" w:rsidR="002E302D" w:rsidRDefault="00850400" w:rsidP="00850400">
                                  <w:pPr>
                                    <w:pStyle w:val="Header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Trondheim</w:t>
                                  </w:r>
                                  <w:r w:rsidR="00D47AE1"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ingress"/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Norway</w:t>
                                  </w:r>
                                </w:p>
                              </w:tc>
                            </w:tr>
                          </w:tbl>
                          <w:p w14:paraId="2D0C08D0" w14:textId="77777777" w:rsidR="002E302D" w:rsidRDefault="00D47A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E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-52pt;width:482.3pt;height:48.7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zFigIAABwFAAAOAAAAZHJzL2Uyb0RvYy54bWysVNuO2yAQfa/Uf0C8Z32Rk42tOKu9NFWl&#10;7UXa7QcQg2NUDBRI7G21/94B4my2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FGqH&#10;kSQ9lOiRjQ7dqBHlPjuDthU4PWhwcyMse08fqdX3qvlmkVS3HZE7dm2MGjpGKLDL/Mnk7GjEsR5k&#10;O3xUFK4he6cC0Nia3gNCMhCgQ5WeTpXxVBpYXGT5PM9gq4G9RbYsylC6hFTTaW2se89Uj7xRYwOV&#10;D+jkcG+dZ0OqySWwV4LTDRciTMxueysMOhBQySZ88azQHYmr03U2ugY8e44hpEeSymPG6+IKRAAE&#10;/J6PJUjiZ5nlRXqTl7PNYnk5KzbFfFZepstZmpU35SItyuJu8+wZZEXVcUqZvOeSTfLMir8r/7FR&#10;orCCQNFQ43Kez0Nwr9gfwzrGmvovlBDKfB5kzx10q+B9jZcnJ1L5qr+TFMImlSNcRDt5TT+kDHIw&#10;/UNWgka8LKJA3LgdAcULZ6voE6jFKCgm1B2eGDA6ZX5gNEC71th+3xPDMBIfJCjO9/ZkmMnYTgaR&#10;DRytscMomrcuvgF7bfiuA+SoaamuQZUtD4J5YQGU/QRaMJA/Phe+x8/nwevlUVv/AgAA//8DAFBL&#10;AwQUAAYACAAAACEApfvrJd4AAAALAQAADwAAAGRycy9kb3ducmV2LnhtbEyPQU/DMAyF70j8h8hI&#10;3LZ0G5StazrBEFwnyqRds8ZrqjZO1WRb+fcYLnCzn5+ev5dvRteJCw6h8aRgNk1AIFXeNFQr2H++&#10;TZYgQtRkdOcJFXxhgE1xe5PrzPgrfeCljLXgEAqZVmBj7DMpQ2XR6TD1PRLfTn5wOvI61NIM+srh&#10;rpPzJEml0w3xB6t73Fqs2vLsFCx286dDeC9ft/0BV+0yvLQnskrd343PaxARx/hnhh98RoeCmY7+&#10;TCaITsFkljB6/B0euBVbVo8Llo4spSnIIpf/OxTfAAAA//8DAFBLAQItABQABgAIAAAAIQC2gziS&#10;/gAAAOEBAAATAAAAAAAAAAAAAAAAAAAAAABbQ29udGVudF9UeXBlc10ueG1sUEsBAi0AFAAGAAgA&#10;AAAhADj9If/WAAAAlAEAAAsAAAAAAAAAAAAAAAAALwEAAF9yZWxzLy5yZWxzUEsBAi0AFAAGAAgA&#10;AAAhAEJVLMWKAgAAHAUAAA4AAAAAAAAAAAAAAAAALgIAAGRycy9lMm9Eb2MueG1sUEsBAi0AFAAG&#10;AAgAAAAhAKX76yXeAAAACw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18"/>
                        <w:gridCol w:w="2392"/>
                        <w:gridCol w:w="6138"/>
                      </w:tblGrid>
                      <w:tr w:rsidR="002E302D" w14:paraId="39E1F8A1" w14:textId="77777777">
                        <w:trPr>
                          <w:trHeight w:val="854"/>
                        </w:trPr>
                        <w:tc>
                          <w:tcPr>
                            <w:tcW w:w="1118" w:type="dxa"/>
                            <w:shd w:val="clear" w:color="auto" w:fill="auto"/>
                          </w:tcPr>
                          <w:p w14:paraId="3B18F75F" w14:textId="77777777" w:rsidR="002E302D" w:rsidRDefault="00D205CB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nb-NO" w:eastAsia="nb-NO"/>
                              </w:rPr>
                              <w:drawing>
                                <wp:inline distT="0" distB="0" distL="0" distR="0" wp14:anchorId="0E1B6D7E" wp14:editId="4D44396A">
                                  <wp:extent cx="571500" cy="542925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92" w:type="dxa"/>
                            <w:shd w:val="clear" w:color="auto" w:fill="auto"/>
                          </w:tcPr>
                          <w:p w14:paraId="47D6D698" w14:textId="77777777" w:rsidR="002E302D" w:rsidRDefault="00D47AE1">
                            <w:pPr>
                              <w:pStyle w:val="Header"/>
                              <w:spacing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POAC’1</w:t>
                            </w:r>
                            <w:r w:rsidR="0085040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17F37251" w14:textId="77777777" w:rsidR="002E302D" w:rsidRDefault="00850400" w:rsidP="00850400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Trondheim</w:t>
                            </w:r>
                            <w:r w:rsidR="00D47AE1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Norway</w:t>
                            </w:r>
                          </w:p>
                        </w:tc>
                        <w:tc>
                          <w:tcPr>
                            <w:tcW w:w="6138" w:type="dxa"/>
                            <w:shd w:val="clear" w:color="auto" w:fill="auto"/>
                          </w:tcPr>
                          <w:p w14:paraId="717552E2" w14:textId="008B6A42" w:rsidR="002E302D" w:rsidRDefault="00D47AE1">
                            <w:pPr>
                              <w:pStyle w:val="Header"/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Proceedings of the 2</w:t>
                            </w:r>
                            <w:r w:rsidR="008504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9D5B1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International Conference on</w:t>
                            </w:r>
                          </w:p>
                          <w:p w14:paraId="3CF9908D" w14:textId="77777777" w:rsidR="002E302D" w:rsidRDefault="00D47AE1">
                            <w:pPr>
                              <w:pStyle w:val="Header"/>
                              <w:spacing w:after="0"/>
                              <w:jc w:val="right"/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Port and Ocean Engineering under Arctic Conditions</w:t>
                            </w:r>
                          </w:p>
                          <w:p w14:paraId="4D2B5327" w14:textId="77777777" w:rsidR="002E302D" w:rsidRDefault="00D47AE1">
                            <w:pPr>
                              <w:pStyle w:val="Header"/>
                              <w:spacing w:after="0"/>
                              <w:jc w:val="right"/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850400"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-1</w:t>
                            </w:r>
                            <w:r w:rsidR="00850400"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201</w:t>
                            </w:r>
                            <w:r w:rsidR="00850400"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1221E885" w14:textId="77777777" w:rsidR="002E302D" w:rsidRDefault="00850400" w:rsidP="00850400">
                            <w:pPr>
                              <w:pStyle w:val="Header"/>
                              <w:spacing w:after="0"/>
                              <w:jc w:val="right"/>
                            </w:pPr>
                            <w:r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Trondheim</w:t>
                            </w:r>
                            <w:r w:rsidR="00D47AE1"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Style w:val="ingress"/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Norway</w:t>
                            </w:r>
                          </w:p>
                        </w:tc>
                      </w:tr>
                    </w:tbl>
                    <w:p w14:paraId="2D0C08D0" w14:textId="77777777" w:rsidR="002E302D" w:rsidRDefault="00D47AE1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2A1FB7A" w14:textId="77777777" w:rsidR="002E302D" w:rsidRDefault="002E302D" w:rsidP="000D32D1">
      <w:pPr>
        <w:rPr>
          <w:kern w:val="1"/>
        </w:rPr>
      </w:pPr>
    </w:p>
    <w:p w14:paraId="6B393FB3" w14:textId="77777777" w:rsidR="00D41D7D" w:rsidRDefault="00D41D7D" w:rsidP="000D32D1">
      <w:pPr>
        <w:rPr>
          <w:kern w:val="1"/>
        </w:rPr>
      </w:pPr>
    </w:p>
    <w:p w14:paraId="0E4DA1B4" w14:textId="5AFBE588" w:rsidR="002E302D" w:rsidRDefault="00D47AE1" w:rsidP="000D32D1">
      <w:pPr>
        <w:jc w:val="center"/>
      </w:pPr>
      <w:r>
        <w:rPr>
          <w:b/>
          <w:sz w:val="32"/>
          <w:szCs w:val="32"/>
        </w:rPr>
        <w:t>TITLE OF PAPER (Times New Roman 16p, bold</w:t>
      </w:r>
      <w:r w:rsidR="00FD2148">
        <w:rPr>
          <w:b/>
          <w:sz w:val="32"/>
          <w:szCs w:val="32"/>
        </w:rPr>
        <w:t>, use all capitals</w:t>
      </w:r>
      <w:r>
        <w:rPr>
          <w:b/>
          <w:sz w:val="32"/>
          <w:szCs w:val="32"/>
        </w:rPr>
        <w:t>)</w:t>
      </w:r>
    </w:p>
    <w:p w14:paraId="53412A9D" w14:textId="77777777" w:rsidR="002E302D" w:rsidRDefault="002E302D" w:rsidP="000D32D1">
      <w:pPr>
        <w:jc w:val="center"/>
      </w:pPr>
    </w:p>
    <w:p w14:paraId="060CBA08" w14:textId="77777777" w:rsidR="002E302D" w:rsidRDefault="00D47AE1" w:rsidP="000D32D1">
      <w:pPr>
        <w:jc w:val="center"/>
        <w:rPr>
          <w:vertAlign w:val="superscript"/>
        </w:rPr>
      </w:pPr>
      <w:r>
        <w:t xml:space="preserve">Author </w:t>
      </w:r>
      <w:r>
        <w:rPr>
          <w:vertAlign w:val="superscript"/>
        </w:rPr>
        <w:t>1</w:t>
      </w:r>
      <w:r>
        <w:t xml:space="preserve">, another Author </w:t>
      </w:r>
      <w:r>
        <w:rPr>
          <w:vertAlign w:val="superscript"/>
        </w:rPr>
        <w:t>2</w:t>
      </w:r>
    </w:p>
    <w:p w14:paraId="31497516" w14:textId="77777777" w:rsidR="002E302D" w:rsidRDefault="00D47AE1" w:rsidP="000D32D1">
      <w:pPr>
        <w:jc w:val="center"/>
        <w:rPr>
          <w:vertAlign w:val="superscript"/>
        </w:rPr>
      </w:pPr>
      <w:r>
        <w:rPr>
          <w:vertAlign w:val="superscript"/>
        </w:rPr>
        <w:t>1</w:t>
      </w:r>
      <w:r>
        <w:t>Affiliation (e.g.</w:t>
      </w:r>
      <w:r w:rsidR="00850400">
        <w:t>,</w:t>
      </w:r>
      <w:r>
        <w:t xml:space="preserve"> </w:t>
      </w:r>
      <w:r w:rsidR="00850400">
        <w:t>Norwegian University of Science and Technology</w:t>
      </w:r>
      <w:r>
        <w:t xml:space="preserve">, </w:t>
      </w:r>
      <w:r w:rsidR="00850400">
        <w:t>Trondheim</w:t>
      </w:r>
      <w:r>
        <w:t xml:space="preserve">, </w:t>
      </w:r>
      <w:r w:rsidR="00850400">
        <w:t>Norway</w:t>
      </w:r>
      <w:r>
        <w:t>)</w:t>
      </w:r>
    </w:p>
    <w:p w14:paraId="6A1D9EF6" w14:textId="77777777" w:rsidR="002E302D" w:rsidRDefault="00D47AE1" w:rsidP="000D32D1">
      <w:pPr>
        <w:jc w:val="center"/>
      </w:pPr>
      <w:r>
        <w:rPr>
          <w:vertAlign w:val="superscript"/>
        </w:rPr>
        <w:t xml:space="preserve">2 </w:t>
      </w:r>
      <w:r>
        <w:t>Another affiliation</w:t>
      </w:r>
    </w:p>
    <w:p w14:paraId="0D6838A2" w14:textId="77777777" w:rsidR="002E302D" w:rsidRDefault="002E302D" w:rsidP="000D32D1"/>
    <w:p w14:paraId="72515C97" w14:textId="77777777" w:rsidR="000D32D1" w:rsidRDefault="000D32D1" w:rsidP="000D32D1"/>
    <w:p w14:paraId="365A0079" w14:textId="77777777" w:rsidR="00D41D7D" w:rsidRDefault="00D41D7D" w:rsidP="000D32D1"/>
    <w:p w14:paraId="35D0DFEC" w14:textId="77777777" w:rsidR="002E302D" w:rsidRDefault="00D47AE1" w:rsidP="000D32D1">
      <w:pPr>
        <w:pStyle w:val="Heading1"/>
        <w:spacing w:before="0" w:after="0"/>
        <w:ind w:left="431" w:hanging="431"/>
      </w:pPr>
      <w:r>
        <w:t>ABSTRACT (Times New Roman 12p, bold)</w:t>
      </w:r>
    </w:p>
    <w:p w14:paraId="292B42E4" w14:textId="77777777" w:rsidR="000D32D1" w:rsidRPr="000D32D1" w:rsidRDefault="00D47AE1" w:rsidP="000D32D1">
      <w:r>
        <w:t>Body text. Use Times New Roman 12p. (</w:t>
      </w:r>
      <w:proofErr w:type="gramStart"/>
      <w:r>
        <w:t>max</w:t>
      </w:r>
      <w:proofErr w:type="gramEnd"/>
      <w:r>
        <w:t xml:space="preserve"> 300 words)</w:t>
      </w:r>
    </w:p>
    <w:p w14:paraId="7BB1FCB7" w14:textId="77777777" w:rsidR="002E302D" w:rsidRDefault="002E302D" w:rsidP="000D32D1">
      <w:pPr>
        <w:rPr>
          <w:kern w:val="1"/>
        </w:rPr>
      </w:pPr>
    </w:p>
    <w:p w14:paraId="7638FB27" w14:textId="77777777" w:rsidR="000D32D1" w:rsidRDefault="000D32D1" w:rsidP="000D32D1">
      <w:pPr>
        <w:rPr>
          <w:kern w:val="1"/>
        </w:rPr>
      </w:pPr>
    </w:p>
    <w:p w14:paraId="0307FEFB" w14:textId="77777777" w:rsidR="002E302D" w:rsidRDefault="00D47AE1" w:rsidP="000D32D1">
      <w:pPr>
        <w:pStyle w:val="Heading1"/>
        <w:spacing w:before="0" w:after="0"/>
      </w:pPr>
      <w:r>
        <w:t>HEADING 1 (Times New Roman 12p, bold)</w:t>
      </w:r>
    </w:p>
    <w:p w14:paraId="64CDA7BE" w14:textId="006A2122" w:rsidR="002E302D" w:rsidRDefault="00C40631" w:rsidP="000D32D1">
      <w:pPr>
        <w:jc w:val="both"/>
      </w:pPr>
      <w:r>
        <w:t xml:space="preserve">Body text. Use Times New Roman 12p. </w:t>
      </w:r>
      <w:r w:rsidR="00D41D7D">
        <w:rPr>
          <w:kern w:val="1"/>
        </w:rPr>
        <w:t xml:space="preserve">Use A4 paper size. </w:t>
      </w:r>
      <w:r w:rsidR="000D32D1">
        <w:rPr>
          <w:kern w:val="1"/>
        </w:rPr>
        <w:t>The full paper should not exceed 1</w:t>
      </w:r>
      <w:r w:rsidR="00B64964">
        <w:rPr>
          <w:kern w:val="1"/>
        </w:rPr>
        <w:t>2</w:t>
      </w:r>
      <w:r w:rsidR="000D32D1">
        <w:rPr>
          <w:kern w:val="1"/>
        </w:rPr>
        <w:t xml:space="preserve"> pages.</w:t>
      </w:r>
      <w:r w:rsidR="000D32D1">
        <w:t xml:space="preserve"> </w:t>
      </w:r>
      <w:r w:rsidR="00D47AE1">
        <w:t>If tables are added, use format according to Table 1.</w:t>
      </w:r>
    </w:p>
    <w:p w14:paraId="40A90595" w14:textId="77777777" w:rsidR="002E302D" w:rsidRDefault="002E302D" w:rsidP="000D32D1">
      <w:pPr>
        <w:jc w:val="both"/>
      </w:pPr>
    </w:p>
    <w:p w14:paraId="2F4802A4" w14:textId="77777777" w:rsidR="002E302D" w:rsidRDefault="00D47AE1" w:rsidP="000D32D1">
      <w:pPr>
        <w:jc w:val="center"/>
      </w:pPr>
      <w:r>
        <w:t>Table 1. Caption text.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303"/>
      </w:tblGrid>
      <w:tr w:rsidR="002E302D" w14:paraId="69CA5087" w14:textId="77777777" w:rsidTr="000D32D1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1B6D" w14:textId="77777777" w:rsidR="002E302D" w:rsidRDefault="00D47AE1" w:rsidP="000D32D1">
            <w:pPr>
              <w:jc w:val="center"/>
            </w:pPr>
            <w:r>
              <w:t>Number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1A3C" w14:textId="77777777" w:rsidR="002E302D" w:rsidRDefault="00D47AE1" w:rsidP="000D32D1">
            <w:pPr>
              <w:jc w:val="center"/>
            </w:pPr>
            <w:r>
              <w:t>Maximum Load (</w:t>
            </w:r>
            <w:proofErr w:type="spellStart"/>
            <w:r>
              <w:t>kN</w:t>
            </w:r>
            <w:proofErr w:type="spellEnd"/>
            <w:r>
              <w:t>)</w:t>
            </w:r>
          </w:p>
        </w:tc>
      </w:tr>
      <w:tr w:rsidR="002E302D" w14:paraId="756DD66F" w14:textId="77777777" w:rsidTr="000D32D1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37FE" w14:textId="0CA1807B" w:rsidR="002E302D" w:rsidRDefault="00D47AE1" w:rsidP="000D32D1">
            <w:pPr>
              <w:jc w:val="center"/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C2CB" w14:textId="77777777" w:rsidR="002E302D" w:rsidRDefault="00D47AE1" w:rsidP="000D32D1">
            <w:pPr>
              <w:jc w:val="center"/>
            </w:pPr>
            <w:r>
              <w:t>500</w:t>
            </w:r>
          </w:p>
        </w:tc>
      </w:tr>
      <w:tr w:rsidR="002E302D" w14:paraId="3D8F973F" w14:textId="77777777" w:rsidTr="000D32D1">
        <w:trPr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67B9" w14:textId="77777777" w:rsidR="002E302D" w:rsidRDefault="00D47AE1" w:rsidP="000D32D1">
            <w:pPr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E060" w14:textId="77777777" w:rsidR="002E302D" w:rsidRDefault="00D47AE1" w:rsidP="000D32D1">
            <w:pPr>
              <w:jc w:val="center"/>
            </w:pPr>
            <w:r>
              <w:t>501</w:t>
            </w:r>
          </w:p>
        </w:tc>
      </w:tr>
    </w:tbl>
    <w:p w14:paraId="48AA1398" w14:textId="77777777" w:rsidR="002E302D" w:rsidRDefault="002E302D" w:rsidP="000D32D1">
      <w:pPr>
        <w:jc w:val="both"/>
      </w:pPr>
    </w:p>
    <w:p w14:paraId="3FBE818A" w14:textId="77777777" w:rsidR="002E302D" w:rsidRDefault="000D32D1" w:rsidP="000D32D1">
      <w:pPr>
        <w:pStyle w:val="Heading2"/>
      </w:pPr>
      <w:r>
        <w:t>H</w:t>
      </w:r>
      <w:r w:rsidR="00D47AE1">
        <w:t>eading 2 (Times New Roman 12p, italic)</w:t>
      </w:r>
    </w:p>
    <w:p w14:paraId="0A7C6460" w14:textId="77777777" w:rsidR="002E302D" w:rsidRDefault="00ED5A1B" w:rsidP="000D32D1">
      <w:pPr>
        <w:jc w:val="both"/>
      </w:pPr>
      <w:r>
        <w:t>N</w:t>
      </w:r>
      <w:r w:rsidR="00D47AE1">
        <w:t xml:space="preserve">umber equations, using “(1)” and so on, e.g. … the modulus of elasticity, </w:t>
      </w:r>
      <w:r w:rsidR="00D47AE1">
        <w:rPr>
          <w:i/>
          <w:iCs/>
        </w:rPr>
        <w:t>E</w:t>
      </w:r>
      <w:r w:rsidR="005110B3">
        <w:t>,</w:t>
      </w:r>
      <w:r w:rsidR="00D47AE1">
        <w:t xml:space="preserve"> is given by</w:t>
      </w:r>
    </w:p>
    <w:p w14:paraId="61237729" w14:textId="77777777" w:rsidR="002E302D" w:rsidRDefault="00D47AE1" w:rsidP="000D32D1">
      <w:pPr>
        <w:jc w:val="both"/>
      </w:pPr>
      <w:r>
        <w:tab/>
      </w:r>
      <w:r w:rsidR="008C3457" w:rsidRPr="008C3457">
        <w:rPr>
          <w:position w:val="-26"/>
        </w:rPr>
        <w:object w:dxaOrig="720" w:dyaOrig="700" w14:anchorId="3263F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5.25pt" o:ole="" filled="t">
            <v:fill color2="black"/>
            <v:imagedata r:id="rId6" o:title=""/>
          </v:shape>
          <o:OLEObject Type="Embed" ProgID="Equation.3" ShapeID="_x0000_i1025" DrawAspect="Content" ObjectID="_1488101757" r:id="rId7"/>
        </w:object>
      </w:r>
      <w:r>
        <w:tab/>
      </w:r>
      <w:r>
        <w:tab/>
      </w:r>
      <w:r w:rsidR="00D205CB">
        <w:tab/>
      </w:r>
      <w:r>
        <w:tab/>
      </w:r>
      <w:r>
        <w:tab/>
        <w:t>(1)</w:t>
      </w:r>
    </w:p>
    <w:p w14:paraId="289F5A41" w14:textId="5B08743E" w:rsidR="00ED5A1B" w:rsidRDefault="00D47AE1" w:rsidP="000D32D1">
      <w:pPr>
        <w:jc w:val="both"/>
      </w:pPr>
      <w:proofErr w:type="gramStart"/>
      <w:r>
        <w:t>where</w:t>
      </w:r>
      <w:proofErr w:type="gramEnd"/>
      <w:r>
        <w:t xml:space="preserve"> </w:t>
      </w:r>
      <w:r>
        <w:rPr>
          <w:rFonts w:ascii="Symbol" w:hAnsi="Symbol" w:cs="Symbol"/>
          <w:i/>
          <w:iCs/>
        </w:rPr>
        <w:t></w:t>
      </w:r>
      <w:r>
        <w:rPr>
          <w:i/>
          <w:iCs/>
        </w:rPr>
        <w:t xml:space="preserve"> </w:t>
      </w:r>
      <w:r>
        <w:t xml:space="preserve">is the stress (MPa) and </w:t>
      </w:r>
      <w:r>
        <w:rPr>
          <w:rFonts w:ascii="Symbol" w:hAnsi="Symbol" w:cs="Symbol"/>
          <w:i/>
          <w:iCs/>
        </w:rPr>
        <w:t></w:t>
      </w:r>
      <w:r>
        <w:rPr>
          <w:i/>
          <w:iCs/>
        </w:rPr>
        <w:t xml:space="preserve"> </w:t>
      </w:r>
      <w:r>
        <w:t>is the strain. Any vertical loading of a straight boundary leads to stress field that can be solved using the theory of elasticity</w:t>
      </w:r>
      <w:r w:rsidR="00A83A38">
        <w:t xml:space="preserve"> (Landau et al. 1986)</w:t>
      </w:r>
      <w:r>
        <w:t>. Assuming for instance that the deflection is constant along the loaded portion of the straight boundary</w:t>
      </w:r>
      <w:r w:rsidR="00EC0F43">
        <w:t xml:space="preserve"> T</w:t>
      </w:r>
      <w:r>
        <w:t xml:space="preserve">imoshenko </w:t>
      </w:r>
      <w:r w:rsidR="00EC0F43">
        <w:t xml:space="preserve">and </w:t>
      </w:r>
      <w:proofErr w:type="spellStart"/>
      <w:r>
        <w:t>Goodier</w:t>
      </w:r>
      <w:proofErr w:type="spellEnd"/>
      <w:r w:rsidR="00EC0F43">
        <w:t xml:space="preserve"> (</w:t>
      </w:r>
      <w:r>
        <w:t xml:space="preserve">1951) </w:t>
      </w:r>
      <w:r w:rsidR="00EC0F43">
        <w:t xml:space="preserve">showed </w:t>
      </w:r>
      <w:r>
        <w:t xml:space="preserve">that the pressure distribution </w:t>
      </w:r>
      <w:r>
        <w:rPr>
          <w:i/>
        </w:rPr>
        <w:t>q</w:t>
      </w:r>
      <w:r>
        <w:t xml:space="preserve"> is given by</w:t>
      </w:r>
      <w:r w:rsidR="0068225D">
        <w:t xml:space="preserve"> Eq. 2</w:t>
      </w:r>
    </w:p>
    <w:p w14:paraId="04563AD8" w14:textId="77777777" w:rsidR="002E302D" w:rsidRDefault="00D47AE1" w:rsidP="000D32D1">
      <w:pPr>
        <w:jc w:val="both"/>
      </w:pPr>
      <w:r>
        <w:tab/>
      </w:r>
      <w:r w:rsidR="008C3457" w:rsidRPr="00D205CB">
        <w:rPr>
          <w:position w:val="-32"/>
        </w:rPr>
        <w:object w:dxaOrig="2000" w:dyaOrig="760" w14:anchorId="3F0E2A54">
          <v:shape id="_x0000_i1026" type="#_x0000_t75" style="width:99.75pt;height:38.25pt" o:ole="" filled="t">
            <v:fill color2="black"/>
            <v:imagedata r:id="rId8" o:title=""/>
          </v:shape>
          <o:OLEObject Type="Embed" ProgID="Equation.3" ShapeID="_x0000_i1026" DrawAspect="Content" ObjectID="_1488101758" r:id="rId9"/>
        </w:object>
      </w:r>
      <w:r>
        <w:tab/>
      </w:r>
      <w:r>
        <w:tab/>
      </w:r>
      <w:r w:rsidR="00D205CB">
        <w:tab/>
      </w:r>
      <w:r>
        <w:tab/>
        <w:t>(2)</w:t>
      </w:r>
    </w:p>
    <w:p w14:paraId="7B1C3207" w14:textId="6E6045D0" w:rsidR="002E302D" w:rsidRDefault="00D47AE1" w:rsidP="000D32D1">
      <w:pPr>
        <w:jc w:val="both"/>
      </w:pPr>
      <w:proofErr w:type="gramStart"/>
      <w:r>
        <w:t>where</w:t>
      </w:r>
      <w:proofErr w:type="gramEnd"/>
      <w:r>
        <w:t xml:space="preserve"> </w:t>
      </w:r>
      <w:r>
        <w:rPr>
          <w:i/>
        </w:rPr>
        <w:t>P</w:t>
      </w:r>
      <w:r>
        <w:t xml:space="preserve"> is a load that is perpendicular to the boundary and distributed on a breadth of 2</w:t>
      </w:r>
      <w:r>
        <w:rPr>
          <w:i/>
        </w:rPr>
        <w:t>a</w:t>
      </w:r>
      <w:r>
        <w:t xml:space="preserve">. </w:t>
      </w:r>
      <w:r w:rsidR="008C3457">
        <w:t>I</w:t>
      </w:r>
      <w:r>
        <w:t>f pictures or curves are added, use the same format as in Figure 1.</w:t>
      </w:r>
      <w:r w:rsidR="0068225D">
        <w:t xml:space="preserve"> When combining </w:t>
      </w:r>
      <w:proofErr w:type="spellStart"/>
      <w:r w:rsidR="0068225D">
        <w:t>Eqs</w:t>
      </w:r>
      <w:proofErr w:type="spellEnd"/>
      <w:r w:rsidR="0068225D">
        <w:t>. 1 and 2 one may find the magical formula everybody is looking for</w:t>
      </w:r>
      <w:r w:rsidR="00FD2148">
        <w:t>…</w:t>
      </w:r>
    </w:p>
    <w:p w14:paraId="03B83447" w14:textId="77777777" w:rsidR="00ED5A1B" w:rsidRDefault="00ED5A1B" w:rsidP="000D32D1">
      <w:pPr>
        <w:jc w:val="both"/>
      </w:pPr>
    </w:p>
    <w:p w14:paraId="4CBA337A" w14:textId="77777777" w:rsidR="002E302D" w:rsidRDefault="00D205CB" w:rsidP="000D32D1">
      <w:pPr>
        <w:jc w:val="center"/>
      </w:pPr>
      <w:r>
        <w:rPr>
          <w:noProof/>
          <w:sz w:val="20"/>
          <w:szCs w:val="20"/>
          <w:lang w:val="nb-NO" w:eastAsia="nb-NO"/>
        </w:rPr>
        <w:lastRenderedPageBreak/>
        <w:drawing>
          <wp:inline distT="0" distB="0" distL="0" distR="0" wp14:anchorId="1D7AAB77" wp14:editId="0610AAA2">
            <wp:extent cx="4752975" cy="1773018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264" cy="17794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5A531" w14:textId="77777777" w:rsidR="002E302D" w:rsidRDefault="00D47AE1" w:rsidP="000D32D1">
      <w:pPr>
        <w:jc w:val="center"/>
      </w:pPr>
      <w:r>
        <w:t>Figure 1. Caption text.</w:t>
      </w:r>
    </w:p>
    <w:p w14:paraId="04046A15" w14:textId="77777777" w:rsidR="00FD41CF" w:rsidRDefault="00FD41CF" w:rsidP="000D32D1">
      <w:pPr>
        <w:jc w:val="center"/>
      </w:pPr>
    </w:p>
    <w:p w14:paraId="38665F60" w14:textId="77777777" w:rsidR="00FD41CF" w:rsidRDefault="00FD41CF" w:rsidP="000D32D1">
      <w:pPr>
        <w:jc w:val="center"/>
      </w:pPr>
    </w:p>
    <w:p w14:paraId="56AF026B" w14:textId="77777777" w:rsidR="00ED5A1B" w:rsidRDefault="00ED5A1B" w:rsidP="00ED5A1B">
      <w:pPr>
        <w:pStyle w:val="Heading1"/>
        <w:spacing w:before="0" w:after="0"/>
      </w:pPr>
      <w:r>
        <w:t>REFERENCES</w:t>
      </w:r>
    </w:p>
    <w:p w14:paraId="12FCB6DD" w14:textId="77777777" w:rsidR="00ED5A1B" w:rsidRDefault="00ED5A1B" w:rsidP="00ED5A1B">
      <w:r>
        <w:t xml:space="preserve">Use Harvard system (author, date, listed alphabetically, use “et al.” for three or more authors, citation in the </w:t>
      </w:r>
      <w:proofErr w:type="gramStart"/>
      <w:r>
        <w:t>text )</w:t>
      </w:r>
      <w:proofErr w:type="gramEnd"/>
    </w:p>
    <w:p w14:paraId="03FFF6A9" w14:textId="77777777" w:rsidR="00ED5A1B" w:rsidRDefault="00ED5A1B" w:rsidP="00ED5A1B">
      <w:r>
        <w:t xml:space="preserve">Timoshenko, S. and </w:t>
      </w:r>
      <w:proofErr w:type="spellStart"/>
      <w:r>
        <w:t>Goodier</w:t>
      </w:r>
      <w:proofErr w:type="spellEnd"/>
      <w:r>
        <w:t>, J. N., 1951. Theory of Elasticity. McGraw-Hill Book Company, Inc., 506 pp.</w:t>
      </w:r>
    </w:p>
    <w:p w14:paraId="4EA31510" w14:textId="0A44A37F" w:rsidR="002E302D" w:rsidRDefault="00A83A38" w:rsidP="000D32D1">
      <w:r w:rsidRPr="00A83A38">
        <w:t xml:space="preserve">Landau, </w:t>
      </w:r>
      <w:r>
        <w:t xml:space="preserve">L.D., </w:t>
      </w:r>
      <w:proofErr w:type="spellStart"/>
      <w:r w:rsidRPr="00A83A38">
        <w:t>Pitaevskii</w:t>
      </w:r>
      <w:proofErr w:type="spellEnd"/>
      <w:r w:rsidRPr="00A83A38">
        <w:t xml:space="preserve">, </w:t>
      </w:r>
      <w:r>
        <w:t>L.</w:t>
      </w:r>
      <w:r w:rsidRPr="00A83A38">
        <w:t>P.</w:t>
      </w:r>
      <w:r>
        <w:t>,</w:t>
      </w:r>
      <w:r w:rsidRPr="00A83A38">
        <w:t xml:space="preserve"> </w:t>
      </w:r>
      <w:proofErr w:type="spellStart"/>
      <w:r w:rsidRPr="00A83A38">
        <w:t>Kosevich</w:t>
      </w:r>
      <w:proofErr w:type="spellEnd"/>
      <w:r>
        <w:t>,</w:t>
      </w:r>
      <w:r w:rsidRPr="00A83A38">
        <w:t xml:space="preserve"> </w:t>
      </w:r>
      <w:r>
        <w:t>A.M.</w:t>
      </w:r>
      <w:r w:rsidRPr="00A83A38">
        <w:t xml:space="preserve"> and </w:t>
      </w:r>
      <w:proofErr w:type="spellStart"/>
      <w:r w:rsidRPr="00A83A38">
        <w:t>Lifshitz</w:t>
      </w:r>
      <w:proofErr w:type="spellEnd"/>
      <w:r>
        <w:t>,</w:t>
      </w:r>
      <w:r w:rsidRPr="00A83A38">
        <w:t xml:space="preserve"> E.M.</w:t>
      </w:r>
      <w:r>
        <w:t>, 1986. Theory of Elasticity</w:t>
      </w:r>
      <w:r w:rsidR="00FD41CF">
        <w:t>. Elsevier Ltd., 195 pp.</w:t>
      </w:r>
      <w:r w:rsidRPr="00A83A38">
        <w:t xml:space="preserve">  </w:t>
      </w:r>
    </w:p>
    <w:sectPr w:rsidR="002E302D" w:rsidSect="006552D5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CB"/>
    <w:rsid w:val="000D32D1"/>
    <w:rsid w:val="002E302D"/>
    <w:rsid w:val="005110B3"/>
    <w:rsid w:val="005369C4"/>
    <w:rsid w:val="00621552"/>
    <w:rsid w:val="006552D5"/>
    <w:rsid w:val="0068225D"/>
    <w:rsid w:val="00850400"/>
    <w:rsid w:val="00891679"/>
    <w:rsid w:val="008C3457"/>
    <w:rsid w:val="009261B8"/>
    <w:rsid w:val="009D5B12"/>
    <w:rsid w:val="00A83A38"/>
    <w:rsid w:val="00B64964"/>
    <w:rsid w:val="00C40631"/>
    <w:rsid w:val="00CD42A1"/>
    <w:rsid w:val="00D205CB"/>
    <w:rsid w:val="00D41D7D"/>
    <w:rsid w:val="00D47AE1"/>
    <w:rsid w:val="00EC0F43"/>
    <w:rsid w:val="00ED5A1B"/>
    <w:rsid w:val="00EF3A84"/>
    <w:rsid w:val="00EF66DF"/>
    <w:rsid w:val="00FD2148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3DBED5"/>
  <w15:docId w15:val="{FBC2048C-7569-4358-8428-CD4D20C9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2D"/>
    <w:pPr>
      <w:suppressAutoHyphens/>
      <w:autoSpaceDE w:val="0"/>
    </w:pPr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2E302D"/>
    <w:pPr>
      <w:numPr>
        <w:numId w:val="1"/>
      </w:numPr>
      <w:spacing w:before="24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E302D"/>
    <w:pPr>
      <w:numPr>
        <w:ilvl w:val="1"/>
        <w:numId w:val="1"/>
      </w:numPr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02D"/>
  </w:style>
  <w:style w:type="character" w:customStyle="1" w:styleId="ingress">
    <w:name w:val="ingress"/>
    <w:basedOn w:val="DefaultParagraphFont"/>
    <w:rsid w:val="002E302D"/>
  </w:style>
  <w:style w:type="paragraph" w:customStyle="1" w:styleId="Heading">
    <w:name w:val="Heading"/>
    <w:basedOn w:val="Normal"/>
    <w:next w:val="BodyText"/>
    <w:rsid w:val="002E302D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2E302D"/>
    <w:pPr>
      <w:spacing w:after="120"/>
    </w:pPr>
  </w:style>
  <w:style w:type="paragraph" w:styleId="List">
    <w:name w:val="List"/>
    <w:basedOn w:val="BodyText"/>
    <w:rsid w:val="002E302D"/>
    <w:rPr>
      <w:rFonts w:cs="Lohit Hindi"/>
    </w:rPr>
  </w:style>
  <w:style w:type="paragraph" w:styleId="Caption">
    <w:name w:val="caption"/>
    <w:basedOn w:val="Normal"/>
    <w:qFormat/>
    <w:rsid w:val="002E302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2E302D"/>
    <w:pPr>
      <w:suppressLineNumbers/>
    </w:pPr>
    <w:rPr>
      <w:rFonts w:cs="Lohit Hindi"/>
    </w:rPr>
  </w:style>
  <w:style w:type="paragraph" w:styleId="Header">
    <w:name w:val="header"/>
    <w:basedOn w:val="Normal"/>
    <w:rsid w:val="002E302D"/>
    <w:pPr>
      <w:tabs>
        <w:tab w:val="center" w:pos="4536"/>
        <w:tab w:val="right" w:pos="9072"/>
      </w:tabs>
      <w:autoSpaceDE/>
      <w:spacing w:after="120"/>
    </w:pPr>
  </w:style>
  <w:style w:type="paragraph" w:customStyle="1" w:styleId="Framecontents">
    <w:name w:val="Frame contents"/>
    <w:basedOn w:val="BodyText"/>
    <w:rsid w:val="002E302D"/>
  </w:style>
  <w:style w:type="paragraph" w:customStyle="1" w:styleId="TableContents">
    <w:name w:val="Table Contents"/>
    <w:basedOn w:val="Normal"/>
    <w:rsid w:val="002E302D"/>
    <w:pPr>
      <w:suppressLineNumbers/>
    </w:pPr>
  </w:style>
  <w:style w:type="paragraph" w:customStyle="1" w:styleId="TableHeading">
    <w:name w:val="Table Heading"/>
    <w:basedOn w:val="TableContents"/>
    <w:rsid w:val="002E302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DF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82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25D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25D"/>
    <w:rPr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1450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 Tuhkuri</dc:creator>
  <cp:lastModifiedBy>Øyvind Buljo</cp:lastModifiedBy>
  <cp:revision>2</cp:revision>
  <cp:lastPrinted>2013-01-03T08:56:00Z</cp:lastPrinted>
  <dcterms:created xsi:type="dcterms:W3CDTF">2015-03-17T11:49:00Z</dcterms:created>
  <dcterms:modified xsi:type="dcterms:W3CDTF">2015-03-17T11:49:00Z</dcterms:modified>
</cp:coreProperties>
</file>