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8C" w:rsidRPr="006C6058" w:rsidRDefault="00772D8C" w:rsidP="00772D8C">
      <w:pPr>
        <w:rPr>
          <w:b/>
          <w:color w:val="0070C0"/>
          <w:sz w:val="28"/>
          <w:szCs w:val="28"/>
        </w:rPr>
      </w:pPr>
      <w:r w:rsidRPr="006C6058">
        <w:rPr>
          <w:b/>
          <w:color w:val="0070C0"/>
          <w:sz w:val="28"/>
          <w:szCs w:val="28"/>
        </w:rPr>
        <w:t xml:space="preserve">TEMPLATE </w:t>
      </w:r>
      <w:r w:rsidR="00F64305">
        <w:rPr>
          <w:b/>
          <w:color w:val="0070C0"/>
          <w:sz w:val="28"/>
          <w:szCs w:val="28"/>
        </w:rPr>
        <w:t>2</w:t>
      </w:r>
      <w:r w:rsidRPr="006C6058">
        <w:rPr>
          <w:b/>
          <w:color w:val="0070C0"/>
          <w:sz w:val="28"/>
          <w:szCs w:val="28"/>
        </w:rPr>
        <w:t xml:space="preserve"> – GAP ANALYSIS</w:t>
      </w:r>
      <w:r>
        <w:rPr>
          <w:b/>
          <w:color w:val="0070C0"/>
          <w:sz w:val="28"/>
          <w:szCs w:val="28"/>
        </w:rPr>
        <w:t xml:space="preserve"> - OVERVIEW</w:t>
      </w:r>
    </w:p>
    <w:p w:rsidR="00772D8C" w:rsidRPr="006C6058" w:rsidRDefault="00772D8C" w:rsidP="00772D8C">
      <w:pPr>
        <w:pBdr>
          <w:top w:val="single" w:sz="4" w:space="1" w:color="auto"/>
          <w:left w:val="single" w:sz="4" w:space="4" w:color="auto"/>
          <w:bottom w:val="single" w:sz="4" w:space="1" w:color="auto"/>
          <w:right w:val="single" w:sz="4" w:space="4" w:color="auto"/>
        </w:pBdr>
      </w:pPr>
      <w:r>
        <w:t xml:space="preserve">Case number: </w:t>
      </w:r>
      <w:r w:rsidR="00562A2E">
        <w:t>2018NO360548</w:t>
      </w:r>
    </w:p>
    <w:p w:rsidR="00772D8C" w:rsidRPr="006C6058" w:rsidRDefault="00772D8C" w:rsidP="00772D8C">
      <w:pPr>
        <w:pBdr>
          <w:top w:val="single" w:sz="4" w:space="1" w:color="auto"/>
          <w:left w:val="single" w:sz="4" w:space="4" w:color="auto"/>
          <w:bottom w:val="single" w:sz="4" w:space="1" w:color="auto"/>
          <w:right w:val="single" w:sz="4" w:space="4" w:color="auto"/>
        </w:pBdr>
      </w:pPr>
      <w:r w:rsidRPr="006C6058">
        <w:t xml:space="preserve">Name Organisation under review: </w:t>
      </w:r>
      <w:r w:rsidR="00731249">
        <w:t>Norwegian University of Science and Technology (NTNU)</w:t>
      </w:r>
    </w:p>
    <w:p w:rsidR="00772D8C" w:rsidRPr="006C6058" w:rsidRDefault="00772D8C" w:rsidP="00772D8C">
      <w:pPr>
        <w:pBdr>
          <w:top w:val="single" w:sz="4" w:space="1" w:color="auto"/>
          <w:left w:val="single" w:sz="4" w:space="4" w:color="auto"/>
          <w:bottom w:val="single" w:sz="4" w:space="1" w:color="auto"/>
          <w:right w:val="single" w:sz="4" w:space="4" w:color="auto"/>
        </w:pBdr>
      </w:pPr>
      <w:r w:rsidRPr="006C6058">
        <w:t>Organisation’s contact details:</w:t>
      </w:r>
      <w:r w:rsidR="00947F78">
        <w:t xml:space="preserve"> Senior adviser Kristin Wergeland Brekke (Rector’s Office),</w:t>
      </w:r>
      <w:r w:rsidRPr="006C6058">
        <w:t xml:space="preserve"> </w:t>
      </w:r>
      <w:hyperlink r:id="rId7" w:history="1">
        <w:r w:rsidR="00947F78" w:rsidRPr="00A766BF">
          <w:rPr>
            <w:rStyle w:val="Hyperkobling"/>
          </w:rPr>
          <w:t>kristin.brekke@ntnu.no</w:t>
        </w:r>
      </w:hyperlink>
      <w:r w:rsidR="00947F78">
        <w:t>, phone + 47 93 49 20 89</w:t>
      </w:r>
    </w:p>
    <w:p w:rsidR="00731249" w:rsidRDefault="00772D8C" w:rsidP="00772D8C">
      <w:pPr>
        <w:spacing w:after="0" w:line="240" w:lineRule="auto"/>
        <w:rPr>
          <w:smallCaps/>
          <w:spacing w:val="5"/>
        </w:rPr>
      </w:pPr>
      <w:bookmarkStart w:id="0" w:name="_Toc428959127"/>
      <w:bookmarkStart w:id="1" w:name="_Toc430010041"/>
      <w:r w:rsidRPr="006C6058">
        <w:rPr>
          <w:smallCaps/>
          <w:spacing w:val="5"/>
          <w:sz w:val="28"/>
          <w:szCs w:val="28"/>
        </w:rPr>
        <w:t>Submission date</w:t>
      </w:r>
      <w:r w:rsidRPr="006C6058">
        <w:rPr>
          <w:smallCaps/>
          <w:spacing w:val="5"/>
        </w:rPr>
        <w:t>:</w:t>
      </w:r>
      <w:r>
        <w:rPr>
          <w:smallCaps/>
          <w:spacing w:val="5"/>
        </w:rPr>
        <w:t xml:space="preserve"> </w:t>
      </w:r>
      <w:bookmarkStart w:id="2" w:name="_Toc428959128"/>
      <w:bookmarkStart w:id="3" w:name="_Toc430010042"/>
      <w:bookmarkEnd w:id="0"/>
      <w:bookmarkEnd w:id="1"/>
      <w:r w:rsidR="00C159F7">
        <w:rPr>
          <w:smallCaps/>
          <w:spacing w:val="5"/>
        </w:rPr>
        <w:t xml:space="preserve"> </w:t>
      </w:r>
      <w:r w:rsidR="00BD7B8F">
        <w:rPr>
          <w:smallCaps/>
          <w:spacing w:val="5"/>
        </w:rPr>
        <w:t xml:space="preserve">12 </w:t>
      </w:r>
      <w:bookmarkStart w:id="4" w:name="_GoBack"/>
      <w:bookmarkEnd w:id="4"/>
      <w:r w:rsidR="007959DF">
        <w:rPr>
          <w:smallCaps/>
          <w:spacing w:val="5"/>
        </w:rPr>
        <w:t>December</w:t>
      </w:r>
      <w:r w:rsidR="00C159F7">
        <w:rPr>
          <w:smallCaps/>
          <w:spacing w:val="5"/>
        </w:rPr>
        <w:t xml:space="preserve"> 2018</w:t>
      </w:r>
    </w:p>
    <w:p w:rsidR="00772D8C" w:rsidRDefault="00C159F7" w:rsidP="00731249">
      <w:pPr>
        <w:pStyle w:val="Listeavsnitt"/>
        <w:numPr>
          <w:ilvl w:val="0"/>
          <w:numId w:val="1"/>
        </w:numPr>
        <w:spacing w:after="0" w:line="240" w:lineRule="auto"/>
        <w:rPr>
          <w:smallCaps/>
          <w:spacing w:val="5"/>
        </w:rPr>
      </w:pPr>
      <w:r>
        <w:rPr>
          <w:smallCaps/>
          <w:spacing w:val="5"/>
        </w:rPr>
        <w:t xml:space="preserve">The Original </w:t>
      </w:r>
      <w:r w:rsidR="00731249" w:rsidRPr="00731249">
        <w:rPr>
          <w:smallCaps/>
          <w:spacing w:val="5"/>
        </w:rPr>
        <w:t>GAP</w:t>
      </w:r>
      <w:r>
        <w:rPr>
          <w:smallCaps/>
          <w:spacing w:val="5"/>
        </w:rPr>
        <w:t xml:space="preserve"> </w:t>
      </w:r>
      <w:r w:rsidR="00731249" w:rsidRPr="00731249">
        <w:rPr>
          <w:smallCaps/>
          <w:spacing w:val="5"/>
        </w:rPr>
        <w:t xml:space="preserve">analysis (2009) </w:t>
      </w:r>
      <w:r>
        <w:rPr>
          <w:smallCaps/>
          <w:spacing w:val="5"/>
        </w:rPr>
        <w:t xml:space="preserve">was </w:t>
      </w:r>
      <w:r w:rsidR="00731249" w:rsidRPr="00731249">
        <w:rPr>
          <w:smallCaps/>
          <w:spacing w:val="5"/>
        </w:rPr>
        <w:t xml:space="preserve">submitted </w:t>
      </w:r>
      <w:r>
        <w:rPr>
          <w:smallCaps/>
          <w:spacing w:val="5"/>
        </w:rPr>
        <w:t xml:space="preserve">to the commission 15 May 2014 </w:t>
      </w:r>
      <w:r w:rsidR="00731249" w:rsidRPr="00731249">
        <w:rPr>
          <w:smallCaps/>
          <w:spacing w:val="5"/>
        </w:rPr>
        <w:t xml:space="preserve">before </w:t>
      </w:r>
      <w:r>
        <w:rPr>
          <w:smallCaps/>
          <w:spacing w:val="5"/>
        </w:rPr>
        <w:t xml:space="preserve">the </w:t>
      </w:r>
      <w:r w:rsidR="00731249" w:rsidRPr="00731249">
        <w:rPr>
          <w:smallCaps/>
          <w:spacing w:val="5"/>
        </w:rPr>
        <w:t xml:space="preserve">site-visit </w:t>
      </w:r>
      <w:r>
        <w:rPr>
          <w:smallCaps/>
          <w:spacing w:val="5"/>
        </w:rPr>
        <w:t>18 June 2014</w:t>
      </w:r>
      <w:r w:rsidR="009A39F7">
        <w:rPr>
          <w:smallCaps/>
          <w:spacing w:val="5"/>
        </w:rPr>
        <w:t xml:space="preserve"> (</w:t>
      </w:r>
      <w:r w:rsidR="00947F78">
        <w:rPr>
          <w:smallCaps/>
          <w:spacing w:val="5"/>
        </w:rPr>
        <w:t>Action plan 2010-2014)</w:t>
      </w:r>
      <w:r w:rsidR="00731249" w:rsidRPr="00731249">
        <w:rPr>
          <w:smallCaps/>
          <w:spacing w:val="5"/>
        </w:rPr>
        <w:t xml:space="preserve"> </w:t>
      </w:r>
    </w:p>
    <w:p w:rsidR="00C159F7" w:rsidRPr="00731249" w:rsidRDefault="00C159F7" w:rsidP="00731249">
      <w:pPr>
        <w:pStyle w:val="Listeavsnitt"/>
        <w:numPr>
          <w:ilvl w:val="0"/>
          <w:numId w:val="1"/>
        </w:numPr>
        <w:spacing w:after="0" w:line="240" w:lineRule="auto"/>
        <w:rPr>
          <w:smallCaps/>
          <w:spacing w:val="5"/>
        </w:rPr>
      </w:pPr>
      <w:r>
        <w:rPr>
          <w:smallCaps/>
          <w:spacing w:val="5"/>
        </w:rPr>
        <w:t xml:space="preserve">template 2 is </w:t>
      </w:r>
      <w:r w:rsidR="00947F78">
        <w:rPr>
          <w:smallCaps/>
          <w:spacing w:val="5"/>
        </w:rPr>
        <w:t>based on the original Gap analysis</w:t>
      </w:r>
      <w:r w:rsidR="0032789A">
        <w:rPr>
          <w:smallCaps/>
          <w:spacing w:val="5"/>
        </w:rPr>
        <w:t>,</w:t>
      </w:r>
      <w:r w:rsidR="00A43FB5">
        <w:rPr>
          <w:smallCaps/>
          <w:spacing w:val="5"/>
        </w:rPr>
        <w:t xml:space="preserve"> and has been updated in the autumn 2018</w:t>
      </w:r>
      <w:r w:rsidR="00947F78">
        <w:rPr>
          <w:smallCaps/>
          <w:spacing w:val="5"/>
        </w:rPr>
        <w:t xml:space="preserve"> taking into</w:t>
      </w:r>
      <w:r w:rsidR="00A43FB5">
        <w:rPr>
          <w:smallCaps/>
          <w:spacing w:val="5"/>
        </w:rPr>
        <w:t xml:space="preserve"> account</w:t>
      </w:r>
      <w:r w:rsidR="00947F78">
        <w:rPr>
          <w:smallCaps/>
          <w:spacing w:val="5"/>
        </w:rPr>
        <w:t xml:space="preserve"> </w:t>
      </w:r>
      <w:r w:rsidR="00A43FB5">
        <w:rPr>
          <w:smallCaps/>
          <w:spacing w:val="5"/>
        </w:rPr>
        <w:t xml:space="preserve">national and institutional developments.  </w:t>
      </w:r>
    </w:p>
    <w:p w:rsidR="00772D8C" w:rsidRPr="006C6058" w:rsidRDefault="00772D8C" w:rsidP="00772D8C">
      <w:pPr>
        <w:spacing w:after="0" w:line="240" w:lineRule="auto"/>
        <w:rPr>
          <w:smallCaps/>
          <w:spacing w:val="5"/>
        </w:rPr>
      </w:pPr>
    </w:p>
    <w:p w:rsidR="00772D8C" w:rsidRPr="00731249" w:rsidRDefault="00772D8C" w:rsidP="00C159F7">
      <w:pPr>
        <w:spacing w:after="0"/>
        <w:rPr>
          <w:smallCaps/>
          <w:spacing w:val="5"/>
        </w:rPr>
      </w:pPr>
      <w:r w:rsidRPr="00C9373C">
        <w:rPr>
          <w:smallCaps/>
          <w:spacing w:val="5"/>
          <w:sz w:val="28"/>
          <w:szCs w:val="28"/>
        </w:rPr>
        <w:t>Date endorsement Charter and Code</w:t>
      </w:r>
      <w:bookmarkEnd w:id="2"/>
      <w:bookmarkEnd w:id="3"/>
      <w:r w:rsidRPr="00C9373C">
        <w:rPr>
          <w:smallCaps/>
          <w:spacing w:val="5"/>
          <w:sz w:val="28"/>
          <w:szCs w:val="28"/>
        </w:rPr>
        <w:t>:</w:t>
      </w:r>
      <w:r>
        <w:t xml:space="preserve"> </w:t>
      </w:r>
      <w:r w:rsidR="00731249">
        <w:t>17 November 2008</w:t>
      </w:r>
    </w:p>
    <w:p w:rsidR="00772D8C" w:rsidRDefault="00772D8C" w:rsidP="00772D8C">
      <w:pPr>
        <w:rPr>
          <w:b/>
          <w:smallCaps/>
          <w:spacing w:val="5"/>
          <w:sz w:val="28"/>
          <w:szCs w:val="28"/>
        </w:rPr>
      </w:pPr>
    </w:p>
    <w:p w:rsidR="00772D8C" w:rsidRPr="006C6058" w:rsidRDefault="00772D8C" w:rsidP="00772D8C">
      <w:pPr>
        <w:rPr>
          <w:b/>
          <w:smallCaps/>
          <w:spacing w:val="5"/>
          <w:sz w:val="28"/>
          <w:szCs w:val="28"/>
        </w:rPr>
      </w:pPr>
      <w:r w:rsidRPr="006C6058">
        <w:rPr>
          <w:b/>
          <w:smallCaps/>
          <w:spacing w:val="5"/>
          <w:sz w:val="28"/>
          <w:szCs w:val="28"/>
        </w:rPr>
        <w:t>GAP analysis</w:t>
      </w:r>
    </w:p>
    <w:p w:rsidR="00772D8C" w:rsidRDefault="00772D8C" w:rsidP="00772D8C">
      <w:pPr>
        <w:jc w:val="both"/>
      </w:pPr>
      <w:r w:rsidRPr="006C6058">
        <w:t xml:space="preserve">The Charter and Code provides the basis for the Gap analysis. In order to aid cohesion, the 40 articles have been renumbered under the following headings. Please provide the outcome of your organisation’s GAP analysis below. If your organisation currently does not fully meet the criteria, please list whether national or organisational legislation may be limiting the Charter’s implementation, initiatives that have already been taken to improve the situation or new proposals that could remedy the current situation. </w:t>
      </w:r>
    </w:p>
    <w:p w:rsidR="0005401C" w:rsidRDefault="0005401C" w:rsidP="00772D8C">
      <w:pPr>
        <w:jc w:val="both"/>
        <w:rPr>
          <w:b/>
        </w:rPr>
      </w:pPr>
    </w:p>
    <w:p w:rsidR="0032789A" w:rsidRDefault="004D1C24" w:rsidP="009A493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
        </w:rPr>
      </w:pPr>
      <w:r>
        <w:rPr>
          <w:b/>
        </w:rPr>
        <w:t>N</w:t>
      </w:r>
      <w:r w:rsidR="0005401C">
        <w:rPr>
          <w:b/>
        </w:rPr>
        <w:t>OTE</w:t>
      </w:r>
      <w:r>
        <w:rPr>
          <w:b/>
        </w:rPr>
        <w:t xml:space="preserve"> FROM NTNU </w:t>
      </w:r>
    </w:p>
    <w:p w:rsidR="0005401C" w:rsidRDefault="004D1C24" w:rsidP="0032789A">
      <w:pPr>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Pr>
          <w:b/>
        </w:rPr>
        <w:t>T</w:t>
      </w:r>
      <w:r w:rsidR="0005401C">
        <w:rPr>
          <w:b/>
        </w:rPr>
        <w:t>he subs</w:t>
      </w:r>
      <w:r w:rsidR="0032789A">
        <w:rPr>
          <w:b/>
        </w:rPr>
        <w:t xml:space="preserve">equent rating of performance aims to satisfy </w:t>
      </w:r>
      <w:r w:rsidR="0005401C">
        <w:rPr>
          <w:b/>
        </w:rPr>
        <w:t xml:space="preserve">the </w:t>
      </w:r>
      <w:r w:rsidR="0005401C" w:rsidRPr="0005401C">
        <w:rPr>
          <w:b/>
          <w:i/>
        </w:rPr>
        <w:t>HRS4R E-Tool Technical Guidelines for Institutions</w:t>
      </w:r>
      <w:r w:rsidR="0005401C">
        <w:rPr>
          <w:b/>
        </w:rPr>
        <w:t xml:space="preserve"> (2018) which states that: </w:t>
      </w:r>
    </w:p>
    <w:p w:rsidR="00A43FB5" w:rsidRDefault="0005401C" w:rsidP="009A493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i/>
        </w:rPr>
      </w:pPr>
      <w:r w:rsidRPr="0005401C">
        <w:rPr>
          <w:i/>
        </w:rPr>
        <w:t xml:space="preserve">If the institution is already fulfilling </w:t>
      </w:r>
      <w:r w:rsidRPr="0032789A">
        <w:rPr>
          <w:i/>
          <w:u w:val="single"/>
        </w:rPr>
        <w:t>some</w:t>
      </w:r>
      <w:r w:rsidRPr="0005401C">
        <w:rPr>
          <w:i/>
        </w:rPr>
        <w:t xml:space="preserve"> of the principles, the rating will be “fully implemented”. Nevertheless, the institution is required to </w:t>
      </w:r>
      <w:r w:rsidRPr="0032789A">
        <w:rPr>
          <w:i/>
          <w:u w:val="single"/>
        </w:rPr>
        <w:t>provide evidence</w:t>
      </w:r>
      <w:r w:rsidRPr="0005401C">
        <w:rPr>
          <w:i/>
        </w:rPr>
        <w:t xml:space="preserve"> of the specific case (i.e. examples of programmes, policy in practice, etc.). </w:t>
      </w:r>
    </w:p>
    <w:p w:rsidR="00194FBB" w:rsidRPr="00194FBB" w:rsidRDefault="00194FBB" w:rsidP="009A493E">
      <w:pPr>
        <w:pBdr>
          <w:top w:val="single" w:sz="4" w:space="1" w:color="auto"/>
          <w:left w:val="single" w:sz="4" w:space="4" w:color="auto"/>
          <w:bottom w:val="single" w:sz="4" w:space="1" w:color="auto"/>
          <w:right w:val="single" w:sz="4" w:space="4" w:color="auto"/>
        </w:pBdr>
        <w:shd w:val="clear" w:color="auto" w:fill="F2F2F2" w:themeFill="background1" w:themeFillShade="F2"/>
        <w:jc w:val="both"/>
      </w:pPr>
      <w:r>
        <w:lastRenderedPageBreak/>
        <w:t xml:space="preserve">NTNU considers that the NTNU strategy, policies and guidelines are in conformity with </w:t>
      </w:r>
      <w:r w:rsidR="001B1287">
        <w:t xml:space="preserve">the Charter and Code principles, and that the principles </w:t>
      </w:r>
      <w:r w:rsidR="00310C74">
        <w:t xml:space="preserve">as such </w:t>
      </w:r>
      <w:r w:rsidR="001B1287">
        <w:t xml:space="preserve">are </w:t>
      </w:r>
      <w:r w:rsidR="00310C74">
        <w:t>“</w:t>
      </w:r>
      <w:r w:rsidR="001B1287">
        <w:t>fully implemented</w:t>
      </w:r>
      <w:r w:rsidR="00310C74">
        <w:t>”</w:t>
      </w:r>
      <w:r w:rsidR="001B1287">
        <w:t xml:space="preserve"> at NTNU.</w:t>
      </w:r>
      <w:r>
        <w:t xml:space="preserve"> </w:t>
      </w:r>
      <w:r w:rsidR="001B1287">
        <w:t>However, p</w:t>
      </w:r>
      <w:r>
        <w:t>ractise may very between Departments and Faculties, and cultural change takes time. Limitations in capacity – human, economic and physical resources – may also influence how much it is possible to accomplish in the short and longer term.</w:t>
      </w:r>
      <w:r w:rsidR="001B1287">
        <w:t xml:space="preserve"> </w:t>
      </w:r>
      <w:r w:rsidR="00310C74">
        <w:t>S</w:t>
      </w:r>
      <w:r w:rsidR="002A5DA2">
        <w:t xml:space="preserve">takeholders confirm that there is room for improvement in several areas, and their input </w:t>
      </w:r>
      <w:r w:rsidR="0005642B">
        <w:t xml:space="preserve">is </w:t>
      </w:r>
      <w:r w:rsidR="002A5DA2">
        <w:t xml:space="preserve">taken into account in daily </w:t>
      </w:r>
      <w:r w:rsidR="0005642B">
        <w:t>work</w:t>
      </w:r>
      <w:r w:rsidR="002A5DA2">
        <w:t xml:space="preserve"> and longer</w:t>
      </w:r>
      <w:r w:rsidR="00310C74">
        <w:t>-</w:t>
      </w:r>
      <w:r w:rsidR="002A5DA2">
        <w:t xml:space="preserve">term development.  </w:t>
      </w:r>
    </w:p>
    <w:p w:rsidR="00772D8C" w:rsidRDefault="00772D8C" w:rsidP="00772D8C">
      <w:pPr>
        <w:rPr>
          <w:sz w:val="20"/>
        </w:rPr>
      </w:pPr>
    </w:p>
    <w:p w:rsidR="00380CEA" w:rsidRPr="006C6058" w:rsidRDefault="00380CEA" w:rsidP="00772D8C">
      <w:pPr>
        <w:rPr>
          <w:sz w:val="20"/>
        </w:rPr>
        <w:sectPr w:rsidR="00380CEA" w:rsidRPr="006C6058" w:rsidSect="00E96216">
          <w:footerReference w:type="default" r:id="rId8"/>
          <w:pgSz w:w="11906" w:h="16838"/>
          <w:pgMar w:top="1417" w:right="1417" w:bottom="993" w:left="1417" w:header="708" w:footer="708" w:gutter="0"/>
          <w:pgNumType w:start="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2882"/>
        <w:gridCol w:w="1791"/>
        <w:gridCol w:w="5670"/>
        <w:gridCol w:w="2607"/>
      </w:tblGrid>
      <w:tr w:rsidR="00772D8C" w:rsidRPr="00D44518" w:rsidTr="00947F78">
        <w:tc>
          <w:tcPr>
            <w:tcW w:w="12950" w:type="dxa"/>
            <w:gridSpan w:val="4"/>
            <w:shd w:val="clear" w:color="auto" w:fill="D9D9D9"/>
          </w:tcPr>
          <w:p w:rsidR="00772D8C" w:rsidRPr="00D44518" w:rsidRDefault="00772D8C" w:rsidP="004D1C24">
            <w:pPr>
              <w:spacing w:after="0" w:line="240" w:lineRule="auto"/>
              <w:rPr>
                <w:rFonts w:eastAsia="Times New Roman"/>
                <w:b/>
                <w:sz w:val="28"/>
                <w:szCs w:val="28"/>
              </w:rPr>
            </w:pPr>
            <w:r w:rsidRPr="00D44518">
              <w:rPr>
                <w:rFonts w:eastAsia="Times New Roman"/>
                <w:b/>
                <w:sz w:val="28"/>
                <w:szCs w:val="28"/>
              </w:rPr>
              <w:lastRenderedPageBreak/>
              <w:t xml:space="preserve">European Charter for Researchers and Code of Conduct for the Recruitment of Researchers : </w:t>
            </w:r>
            <w:r w:rsidR="004D1C24">
              <w:rPr>
                <w:rFonts w:eastAsia="Times New Roman"/>
                <w:b/>
                <w:sz w:val="28"/>
                <w:szCs w:val="28"/>
              </w:rPr>
              <w:br/>
            </w:r>
            <w:r w:rsidRPr="00D44518">
              <w:rPr>
                <w:rFonts w:eastAsia="Times New Roman"/>
                <w:b/>
                <w:sz w:val="28"/>
                <w:szCs w:val="28"/>
              </w:rPr>
              <w:t>GAP analysis overview</w:t>
            </w:r>
          </w:p>
        </w:tc>
      </w:tr>
      <w:tr w:rsidR="00772D8C" w:rsidRPr="00D44518" w:rsidTr="0005401C">
        <w:tc>
          <w:tcPr>
            <w:tcW w:w="2882" w:type="dxa"/>
            <w:shd w:val="clear" w:color="auto" w:fill="auto"/>
          </w:tcPr>
          <w:p w:rsidR="00772D8C" w:rsidRPr="00D44518" w:rsidRDefault="00772D8C" w:rsidP="00414DDE">
            <w:pPr>
              <w:spacing w:after="0" w:line="240" w:lineRule="auto"/>
              <w:jc w:val="both"/>
              <w:rPr>
                <w:rFonts w:eastAsia="Times New Roman"/>
                <w:sz w:val="20"/>
                <w:szCs w:val="20"/>
              </w:rPr>
            </w:pPr>
            <w:r w:rsidRPr="00D44518">
              <w:rPr>
                <w:rFonts w:eastAsia="Times New Roman"/>
                <w:sz w:val="20"/>
                <w:szCs w:val="20"/>
              </w:rPr>
              <w:t>Status: to what extent does this organisation meet the following principles?</w:t>
            </w:r>
          </w:p>
        </w:tc>
        <w:tc>
          <w:tcPr>
            <w:tcW w:w="1791" w:type="dxa"/>
            <w:shd w:val="clear" w:color="auto" w:fill="auto"/>
          </w:tcPr>
          <w:p w:rsidR="00772D8C" w:rsidRPr="00D44518" w:rsidRDefault="00772D8C" w:rsidP="0005401C">
            <w:pPr>
              <w:spacing w:after="0" w:line="240" w:lineRule="auto"/>
              <w:rPr>
                <w:rFonts w:eastAsia="Times New Roman"/>
                <w:sz w:val="20"/>
                <w:szCs w:val="20"/>
              </w:rPr>
            </w:pPr>
            <w:r w:rsidRPr="00D44518">
              <w:rPr>
                <w:rFonts w:eastAsia="Times New Roman"/>
                <w:sz w:val="20"/>
                <w:szCs w:val="20"/>
              </w:rPr>
              <w:t>+</w:t>
            </w:r>
            <w:r>
              <w:rPr>
                <w:rFonts w:eastAsia="Times New Roman"/>
                <w:sz w:val="20"/>
                <w:szCs w:val="20"/>
              </w:rPr>
              <w:t>+</w:t>
            </w:r>
            <w:r w:rsidRPr="00D44518">
              <w:rPr>
                <w:rFonts w:eastAsia="Times New Roman"/>
                <w:sz w:val="20"/>
                <w:szCs w:val="20"/>
              </w:rPr>
              <w:t xml:space="preserve"> = </w:t>
            </w:r>
            <w:r w:rsidRPr="00D44518">
              <w:rPr>
                <w:rFonts w:eastAsia="Times New Roman"/>
                <w:b/>
                <w:sz w:val="20"/>
                <w:szCs w:val="20"/>
              </w:rPr>
              <w:t>fully</w:t>
            </w:r>
            <w:r w:rsidRPr="00D44518">
              <w:rPr>
                <w:rFonts w:eastAsia="Times New Roman"/>
                <w:sz w:val="20"/>
                <w:szCs w:val="20"/>
              </w:rPr>
              <w:t xml:space="preserve"> implemented</w:t>
            </w:r>
          </w:p>
          <w:p w:rsidR="00772D8C" w:rsidRPr="00D44518" w:rsidRDefault="00772D8C" w:rsidP="0005401C">
            <w:pPr>
              <w:spacing w:after="0" w:line="240" w:lineRule="auto"/>
              <w:rPr>
                <w:rFonts w:eastAsia="Times New Roman"/>
                <w:sz w:val="20"/>
                <w:szCs w:val="20"/>
              </w:rPr>
            </w:pPr>
            <w:r w:rsidRPr="00D44518">
              <w:rPr>
                <w:rFonts w:eastAsia="Times New Roman"/>
                <w:sz w:val="20"/>
                <w:szCs w:val="20"/>
              </w:rPr>
              <w:t xml:space="preserve">+/- = </w:t>
            </w:r>
            <w:r w:rsidRPr="00D44518">
              <w:rPr>
                <w:rFonts w:eastAsia="Times New Roman"/>
                <w:b/>
                <w:sz w:val="20"/>
                <w:szCs w:val="20"/>
              </w:rPr>
              <w:t>almost but not fully</w:t>
            </w:r>
            <w:r w:rsidRPr="00D44518">
              <w:rPr>
                <w:rFonts w:eastAsia="Times New Roman"/>
                <w:sz w:val="20"/>
                <w:szCs w:val="20"/>
              </w:rPr>
              <w:t xml:space="preserve"> implemented</w:t>
            </w:r>
          </w:p>
          <w:p w:rsidR="00772D8C" w:rsidRPr="00D44518" w:rsidRDefault="00772D8C" w:rsidP="0005401C">
            <w:pPr>
              <w:spacing w:after="0" w:line="240" w:lineRule="auto"/>
              <w:rPr>
                <w:rFonts w:eastAsia="Times New Roman"/>
                <w:sz w:val="20"/>
                <w:szCs w:val="20"/>
                <w:lang w:val="nl-BE"/>
              </w:rPr>
            </w:pPr>
            <w:r w:rsidRPr="00D44518">
              <w:rPr>
                <w:rFonts w:eastAsia="Times New Roman"/>
                <w:sz w:val="20"/>
                <w:szCs w:val="20"/>
                <w:lang w:val="nl-BE"/>
              </w:rPr>
              <w:t xml:space="preserve">-/+ = </w:t>
            </w:r>
            <w:proofErr w:type="spellStart"/>
            <w:r w:rsidRPr="00D44518">
              <w:rPr>
                <w:rFonts w:eastAsia="Times New Roman"/>
                <w:b/>
                <w:sz w:val="20"/>
                <w:szCs w:val="20"/>
                <w:lang w:val="nl-BE"/>
              </w:rPr>
              <w:t>partially</w:t>
            </w:r>
            <w:proofErr w:type="spellEnd"/>
            <w:r w:rsidRPr="00D44518">
              <w:rPr>
                <w:rFonts w:eastAsia="Times New Roman"/>
                <w:sz w:val="20"/>
                <w:szCs w:val="20"/>
                <w:lang w:val="nl-BE"/>
              </w:rPr>
              <w:t xml:space="preserve"> </w:t>
            </w:r>
            <w:proofErr w:type="spellStart"/>
            <w:r w:rsidRPr="00D44518">
              <w:rPr>
                <w:rFonts w:eastAsia="Times New Roman"/>
                <w:sz w:val="20"/>
                <w:szCs w:val="20"/>
                <w:lang w:val="nl-BE"/>
              </w:rPr>
              <w:t>implemented</w:t>
            </w:r>
            <w:proofErr w:type="spellEnd"/>
          </w:p>
          <w:p w:rsidR="00772D8C" w:rsidRPr="00D44518" w:rsidRDefault="00772D8C" w:rsidP="0005401C">
            <w:pPr>
              <w:spacing w:after="0" w:line="240" w:lineRule="auto"/>
              <w:rPr>
                <w:rFonts w:eastAsia="Times New Roman"/>
                <w:sz w:val="20"/>
                <w:szCs w:val="20"/>
                <w:lang w:val="nl-BE"/>
              </w:rPr>
            </w:pPr>
            <w:r w:rsidRPr="00D44518">
              <w:rPr>
                <w:rFonts w:eastAsia="Times New Roman"/>
                <w:sz w:val="20"/>
                <w:szCs w:val="20"/>
                <w:lang w:val="nl-BE"/>
              </w:rPr>
              <w:t>-</w:t>
            </w:r>
            <w:r>
              <w:rPr>
                <w:rFonts w:eastAsia="Times New Roman"/>
                <w:sz w:val="20"/>
                <w:szCs w:val="20"/>
                <w:lang w:val="nl-BE"/>
              </w:rPr>
              <w:t>-</w:t>
            </w:r>
            <w:r w:rsidRPr="00D44518">
              <w:rPr>
                <w:rFonts w:eastAsia="Times New Roman"/>
                <w:sz w:val="20"/>
                <w:szCs w:val="20"/>
                <w:lang w:val="nl-BE"/>
              </w:rPr>
              <w:t xml:space="preserve"> = </w:t>
            </w:r>
            <w:proofErr w:type="spellStart"/>
            <w:r w:rsidRPr="00D44518">
              <w:rPr>
                <w:rFonts w:eastAsia="Times New Roman"/>
                <w:b/>
                <w:sz w:val="20"/>
                <w:szCs w:val="20"/>
                <w:lang w:val="nl-BE"/>
              </w:rPr>
              <w:t>insufficiently</w:t>
            </w:r>
            <w:proofErr w:type="spellEnd"/>
            <w:r w:rsidRPr="00D44518">
              <w:rPr>
                <w:rFonts w:eastAsia="Times New Roman"/>
                <w:sz w:val="20"/>
                <w:szCs w:val="20"/>
                <w:lang w:val="nl-BE"/>
              </w:rPr>
              <w:t xml:space="preserve"> </w:t>
            </w:r>
            <w:proofErr w:type="spellStart"/>
            <w:r w:rsidRPr="00D44518">
              <w:rPr>
                <w:rFonts w:eastAsia="Times New Roman"/>
                <w:sz w:val="20"/>
                <w:szCs w:val="20"/>
                <w:lang w:val="nl-BE"/>
              </w:rPr>
              <w:t>implemented</w:t>
            </w:r>
            <w:proofErr w:type="spellEnd"/>
          </w:p>
          <w:p w:rsidR="00772D8C" w:rsidRPr="00D44518" w:rsidRDefault="00772D8C" w:rsidP="00414DDE">
            <w:pPr>
              <w:spacing w:after="0" w:line="240" w:lineRule="auto"/>
              <w:jc w:val="both"/>
              <w:rPr>
                <w:rFonts w:eastAsia="Times New Roman"/>
                <w:sz w:val="20"/>
                <w:szCs w:val="20"/>
                <w:lang w:val="nl-BE"/>
              </w:rPr>
            </w:pPr>
          </w:p>
        </w:tc>
        <w:tc>
          <w:tcPr>
            <w:tcW w:w="5670" w:type="dxa"/>
            <w:shd w:val="clear" w:color="auto" w:fill="auto"/>
          </w:tcPr>
          <w:p w:rsidR="00772D8C" w:rsidRPr="00D44518" w:rsidRDefault="00772D8C" w:rsidP="00414DDE">
            <w:pPr>
              <w:spacing w:after="0" w:line="240" w:lineRule="auto"/>
              <w:jc w:val="both"/>
              <w:rPr>
                <w:rFonts w:eastAsia="Times New Roman"/>
                <w:sz w:val="20"/>
                <w:szCs w:val="20"/>
              </w:rPr>
            </w:pPr>
            <w:r w:rsidRPr="00D44518">
              <w:rPr>
                <w:rFonts w:eastAsia="Times New Roman"/>
                <w:sz w:val="20"/>
                <w:szCs w:val="20"/>
              </w:rPr>
              <w:t>In case of -</w:t>
            </w:r>
            <w:r>
              <w:rPr>
                <w:rFonts w:eastAsia="Times New Roman"/>
                <w:sz w:val="20"/>
                <w:szCs w:val="20"/>
              </w:rPr>
              <w:t>-</w:t>
            </w:r>
            <w:r w:rsidRPr="00D44518">
              <w:rPr>
                <w:rFonts w:eastAsia="Times New Roman"/>
                <w:sz w:val="20"/>
                <w:szCs w:val="20"/>
              </w:rPr>
              <w:t xml:space="preserve">, -/+, or +/-, please </w:t>
            </w:r>
            <w:r w:rsidRPr="00D44518">
              <w:rPr>
                <w:rFonts w:eastAsia="Times New Roman"/>
                <w:b/>
                <w:sz w:val="20"/>
                <w:szCs w:val="20"/>
              </w:rPr>
              <w:t>indicate the actual “gap</w:t>
            </w:r>
            <w:r w:rsidRPr="00D44518">
              <w:rPr>
                <w:rFonts w:eastAsia="Times New Roman"/>
                <w:sz w:val="20"/>
                <w:szCs w:val="20"/>
              </w:rPr>
              <w:t xml:space="preserve">” between the principle and the current practice in your organisation. </w:t>
            </w:r>
          </w:p>
          <w:p w:rsidR="00772D8C" w:rsidRDefault="00772D8C" w:rsidP="00414DDE">
            <w:pPr>
              <w:spacing w:after="0" w:line="240" w:lineRule="auto"/>
              <w:jc w:val="both"/>
              <w:rPr>
                <w:rFonts w:eastAsia="Times New Roman"/>
                <w:sz w:val="20"/>
                <w:szCs w:val="20"/>
              </w:rPr>
            </w:pPr>
            <w:r w:rsidRPr="00D44518">
              <w:rPr>
                <w:rFonts w:eastAsia="Times New Roman"/>
                <w:sz w:val="20"/>
                <w:szCs w:val="20"/>
              </w:rPr>
              <w:t xml:space="preserve"> </w:t>
            </w:r>
          </w:p>
          <w:p w:rsidR="00947F78" w:rsidRDefault="00947F78" w:rsidP="00414DDE">
            <w:pPr>
              <w:spacing w:after="0" w:line="240" w:lineRule="auto"/>
              <w:jc w:val="both"/>
              <w:rPr>
                <w:rFonts w:eastAsia="Times New Roman"/>
                <w:sz w:val="20"/>
                <w:szCs w:val="20"/>
              </w:rPr>
            </w:pPr>
          </w:p>
          <w:p w:rsidR="00947F78" w:rsidRDefault="00947F78" w:rsidP="00414DDE">
            <w:pPr>
              <w:spacing w:after="0" w:line="240" w:lineRule="auto"/>
              <w:jc w:val="both"/>
              <w:rPr>
                <w:rFonts w:eastAsia="Times New Roman"/>
                <w:sz w:val="20"/>
                <w:szCs w:val="20"/>
              </w:rPr>
            </w:pPr>
          </w:p>
          <w:p w:rsidR="00947F78" w:rsidRPr="00D44518" w:rsidRDefault="00947F78" w:rsidP="00414DDE">
            <w:pPr>
              <w:spacing w:after="0" w:line="240" w:lineRule="auto"/>
              <w:jc w:val="both"/>
              <w:rPr>
                <w:rFonts w:eastAsia="Times New Roman"/>
                <w:sz w:val="20"/>
                <w:szCs w:val="20"/>
              </w:rPr>
            </w:pPr>
            <w:r>
              <w:rPr>
                <w:rFonts w:eastAsia="Times New Roman"/>
                <w:sz w:val="20"/>
                <w:szCs w:val="20"/>
                <w:lang w:val="nl-BE"/>
              </w:rPr>
              <w:t xml:space="preserve">Free </w:t>
            </w:r>
            <w:proofErr w:type="spellStart"/>
            <w:r>
              <w:rPr>
                <w:rFonts w:eastAsia="Times New Roman"/>
                <w:sz w:val="20"/>
                <w:szCs w:val="20"/>
                <w:lang w:val="nl-BE"/>
              </w:rPr>
              <w:t>text</w:t>
            </w:r>
            <w:proofErr w:type="spellEnd"/>
            <w:r>
              <w:rPr>
                <w:rFonts w:eastAsia="Times New Roman"/>
                <w:sz w:val="20"/>
                <w:szCs w:val="20"/>
                <w:lang w:val="nl-BE"/>
              </w:rPr>
              <w:t xml:space="preserve"> 300 </w:t>
            </w:r>
            <w:proofErr w:type="spellStart"/>
            <w:r>
              <w:rPr>
                <w:rFonts w:eastAsia="Times New Roman"/>
                <w:sz w:val="20"/>
                <w:szCs w:val="20"/>
                <w:lang w:val="nl-BE"/>
              </w:rPr>
              <w:t>words</w:t>
            </w:r>
            <w:proofErr w:type="spellEnd"/>
            <w:r>
              <w:rPr>
                <w:rFonts w:eastAsia="Times New Roman"/>
                <w:sz w:val="20"/>
                <w:szCs w:val="20"/>
                <w:lang w:val="nl-BE"/>
              </w:rPr>
              <w:t xml:space="preserve"> maximum</w:t>
            </w:r>
          </w:p>
        </w:tc>
        <w:tc>
          <w:tcPr>
            <w:tcW w:w="2607" w:type="dxa"/>
            <w:shd w:val="clear" w:color="auto" w:fill="auto"/>
          </w:tcPr>
          <w:p w:rsidR="00772D8C" w:rsidRDefault="00772D8C" w:rsidP="0005401C">
            <w:pPr>
              <w:spacing w:after="0" w:line="240" w:lineRule="auto"/>
              <w:rPr>
                <w:rFonts w:eastAsia="Times New Roman"/>
                <w:sz w:val="20"/>
                <w:szCs w:val="20"/>
              </w:rPr>
            </w:pPr>
            <w:r w:rsidRPr="00D44518">
              <w:rPr>
                <w:rFonts w:eastAsia="Times New Roman"/>
                <w:sz w:val="20"/>
                <w:szCs w:val="20"/>
              </w:rPr>
              <w:t>If relevant, list any national/regional legislation or organisational regulation currently impeding implementation</w:t>
            </w:r>
            <w:r w:rsidRPr="00D44518" w:rsidDel="007B6B28">
              <w:rPr>
                <w:rFonts w:eastAsia="Times New Roman"/>
                <w:sz w:val="20"/>
                <w:szCs w:val="20"/>
              </w:rPr>
              <w:t xml:space="preserve"> </w:t>
            </w:r>
          </w:p>
          <w:p w:rsidR="00947F78" w:rsidRDefault="00947F78" w:rsidP="0005401C">
            <w:pPr>
              <w:spacing w:after="0" w:line="240" w:lineRule="auto"/>
              <w:rPr>
                <w:rFonts w:eastAsia="Times New Roman"/>
                <w:sz w:val="20"/>
                <w:szCs w:val="20"/>
              </w:rPr>
            </w:pPr>
          </w:p>
          <w:p w:rsidR="00947F78" w:rsidRDefault="00947F78" w:rsidP="0005401C">
            <w:pPr>
              <w:spacing w:after="0" w:line="240" w:lineRule="auto"/>
              <w:rPr>
                <w:rFonts w:eastAsia="Times New Roman"/>
                <w:sz w:val="20"/>
                <w:szCs w:val="20"/>
              </w:rPr>
            </w:pPr>
          </w:p>
          <w:p w:rsidR="00947F78" w:rsidRDefault="00947F78" w:rsidP="0005401C">
            <w:pPr>
              <w:spacing w:after="0" w:line="240" w:lineRule="auto"/>
              <w:rPr>
                <w:rFonts w:eastAsia="Times New Roman"/>
                <w:sz w:val="20"/>
                <w:szCs w:val="20"/>
              </w:rPr>
            </w:pPr>
          </w:p>
          <w:p w:rsidR="00947F78" w:rsidRPr="00D44518" w:rsidRDefault="00947F78" w:rsidP="0005401C">
            <w:pPr>
              <w:spacing w:after="0" w:line="240" w:lineRule="auto"/>
              <w:rPr>
                <w:rFonts w:eastAsia="Times New Roman"/>
                <w:sz w:val="20"/>
                <w:szCs w:val="20"/>
              </w:rPr>
            </w:pPr>
            <w:r>
              <w:rPr>
                <w:rFonts w:eastAsia="Times New Roman"/>
                <w:sz w:val="20"/>
                <w:szCs w:val="20"/>
                <w:lang w:val="nl-BE"/>
              </w:rPr>
              <w:t xml:space="preserve">Free </w:t>
            </w:r>
            <w:proofErr w:type="spellStart"/>
            <w:r>
              <w:rPr>
                <w:rFonts w:eastAsia="Times New Roman"/>
                <w:sz w:val="20"/>
                <w:szCs w:val="20"/>
                <w:lang w:val="nl-BE"/>
              </w:rPr>
              <w:t>text</w:t>
            </w:r>
            <w:proofErr w:type="spellEnd"/>
            <w:r>
              <w:rPr>
                <w:rFonts w:eastAsia="Times New Roman"/>
                <w:sz w:val="20"/>
                <w:szCs w:val="20"/>
                <w:lang w:val="nl-BE"/>
              </w:rPr>
              <w:t xml:space="preserve"> 200 </w:t>
            </w:r>
            <w:proofErr w:type="spellStart"/>
            <w:r>
              <w:rPr>
                <w:rFonts w:eastAsia="Times New Roman"/>
                <w:sz w:val="20"/>
                <w:szCs w:val="20"/>
                <w:lang w:val="nl-BE"/>
              </w:rPr>
              <w:t>words</w:t>
            </w:r>
            <w:proofErr w:type="spellEnd"/>
            <w:r>
              <w:rPr>
                <w:rFonts w:eastAsia="Times New Roman"/>
                <w:sz w:val="20"/>
                <w:szCs w:val="20"/>
                <w:lang w:val="nl-BE"/>
              </w:rPr>
              <w:t xml:space="preserve"> maximum</w:t>
            </w:r>
          </w:p>
        </w:tc>
      </w:tr>
      <w:tr w:rsidR="00772D8C" w:rsidRPr="00D44518" w:rsidTr="00947F78">
        <w:tc>
          <w:tcPr>
            <w:tcW w:w="12950" w:type="dxa"/>
            <w:gridSpan w:val="4"/>
            <w:shd w:val="clear" w:color="auto" w:fill="D9D9D9"/>
          </w:tcPr>
          <w:p w:rsidR="00772D8C" w:rsidRPr="00C9373C" w:rsidRDefault="00772D8C" w:rsidP="00414DDE">
            <w:pPr>
              <w:spacing w:after="0" w:line="240" w:lineRule="auto"/>
              <w:jc w:val="both"/>
              <w:rPr>
                <w:rFonts w:eastAsia="Times New Roman"/>
                <w:b/>
                <w:sz w:val="20"/>
                <w:szCs w:val="20"/>
                <w:lang w:val="nl-BE"/>
              </w:rPr>
            </w:pPr>
            <w:proofErr w:type="spellStart"/>
            <w:r w:rsidRPr="00C9373C">
              <w:rPr>
                <w:rFonts w:eastAsia="Times New Roman"/>
                <w:b/>
                <w:sz w:val="20"/>
                <w:szCs w:val="20"/>
                <w:lang w:val="nl-BE"/>
              </w:rPr>
              <w:t>Ethical</w:t>
            </w:r>
            <w:proofErr w:type="spellEnd"/>
            <w:r w:rsidRPr="00C9373C">
              <w:rPr>
                <w:rFonts w:eastAsia="Times New Roman"/>
                <w:b/>
                <w:sz w:val="20"/>
                <w:szCs w:val="20"/>
                <w:lang w:val="nl-BE"/>
              </w:rPr>
              <w:t xml:space="preserve"> and Professional </w:t>
            </w:r>
            <w:proofErr w:type="spellStart"/>
            <w:r w:rsidRPr="00C9373C">
              <w:rPr>
                <w:rFonts w:eastAsia="Times New Roman"/>
                <w:b/>
                <w:sz w:val="20"/>
                <w:szCs w:val="20"/>
                <w:lang w:val="nl-BE"/>
              </w:rPr>
              <w:t>Aspects</w:t>
            </w:r>
            <w:proofErr w:type="spellEnd"/>
          </w:p>
        </w:tc>
      </w:tr>
      <w:tr w:rsidR="00772D8C" w:rsidRPr="00D44518" w:rsidTr="0005401C">
        <w:tc>
          <w:tcPr>
            <w:tcW w:w="2882" w:type="dxa"/>
            <w:shd w:val="clear" w:color="auto" w:fill="auto"/>
          </w:tcPr>
          <w:p w:rsidR="00772D8C" w:rsidRPr="00D44518" w:rsidRDefault="00772D8C" w:rsidP="00414DDE">
            <w:pPr>
              <w:spacing w:after="0" w:line="240" w:lineRule="auto"/>
              <w:jc w:val="both"/>
              <w:rPr>
                <w:rFonts w:eastAsia="Times New Roman"/>
                <w:sz w:val="20"/>
                <w:szCs w:val="20"/>
                <w:lang w:val="nl-BE"/>
              </w:rPr>
            </w:pPr>
            <w:r w:rsidRPr="00D44518">
              <w:rPr>
                <w:rFonts w:eastAsia="Times New Roman"/>
                <w:sz w:val="20"/>
                <w:szCs w:val="20"/>
                <w:lang w:val="nl-BE"/>
              </w:rPr>
              <w:t xml:space="preserve">1. Research </w:t>
            </w:r>
            <w:proofErr w:type="spellStart"/>
            <w:r w:rsidRPr="00D44518">
              <w:rPr>
                <w:rFonts w:eastAsia="Times New Roman"/>
                <w:sz w:val="20"/>
                <w:szCs w:val="20"/>
                <w:lang w:val="nl-BE"/>
              </w:rPr>
              <w:t>freedom</w:t>
            </w:r>
            <w:proofErr w:type="spellEnd"/>
          </w:p>
        </w:tc>
        <w:tc>
          <w:tcPr>
            <w:tcW w:w="1791" w:type="dxa"/>
            <w:shd w:val="clear" w:color="auto" w:fill="auto"/>
          </w:tcPr>
          <w:p w:rsidR="00772D8C" w:rsidRPr="00D44518" w:rsidRDefault="00947F78" w:rsidP="00947F78">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772D8C" w:rsidRPr="00B6443F" w:rsidRDefault="0005401C"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The </w:t>
            </w:r>
            <w:hyperlink r:id="rId9" w:history="1">
              <w:r w:rsidRPr="00B6443F">
                <w:rPr>
                  <w:rStyle w:val="Hyperkobling"/>
                  <w:rFonts w:asciiTheme="minorHAnsi" w:hAnsiTheme="minorHAnsi" w:cstheme="minorHAnsi"/>
                  <w:sz w:val="18"/>
                  <w:szCs w:val="18"/>
                </w:rPr>
                <w:t>NTNU Strategy 2018-2025</w:t>
              </w:r>
            </w:hyperlink>
            <w:r w:rsidRPr="00B6443F">
              <w:rPr>
                <w:rFonts w:asciiTheme="minorHAnsi" w:hAnsiTheme="minorHAnsi" w:cstheme="minorHAnsi"/>
                <w:sz w:val="18"/>
                <w:szCs w:val="18"/>
              </w:rPr>
              <w:t xml:space="preserve"> states that “Academic freedom is the basis for our activities”. How, is reflected in NTNUs values “creative, critical, constructive, and respectful”.</w:t>
            </w:r>
          </w:p>
        </w:tc>
        <w:tc>
          <w:tcPr>
            <w:tcW w:w="2607" w:type="dxa"/>
            <w:shd w:val="clear" w:color="auto" w:fill="auto"/>
          </w:tcPr>
          <w:p w:rsidR="00772D8C" w:rsidRPr="00D44518" w:rsidRDefault="00772D8C" w:rsidP="00414DDE">
            <w:pPr>
              <w:spacing w:after="0" w:line="240" w:lineRule="auto"/>
              <w:jc w:val="both"/>
              <w:rPr>
                <w:rFonts w:eastAsia="Times New Roman"/>
                <w:sz w:val="20"/>
                <w:szCs w:val="20"/>
                <w:lang w:val="nl-BE"/>
              </w:rPr>
            </w:pPr>
          </w:p>
        </w:tc>
      </w:tr>
      <w:tr w:rsidR="00772D8C" w:rsidRPr="00D44518" w:rsidTr="0005401C">
        <w:tc>
          <w:tcPr>
            <w:tcW w:w="2882" w:type="dxa"/>
            <w:shd w:val="clear" w:color="auto" w:fill="auto"/>
          </w:tcPr>
          <w:p w:rsidR="00772D8C" w:rsidRPr="00D44518" w:rsidRDefault="00772D8C" w:rsidP="00414DDE">
            <w:pPr>
              <w:spacing w:after="0" w:line="240" w:lineRule="auto"/>
              <w:jc w:val="both"/>
              <w:rPr>
                <w:rFonts w:eastAsia="Times New Roman"/>
                <w:sz w:val="20"/>
                <w:szCs w:val="20"/>
                <w:lang w:val="nl-BE"/>
              </w:rPr>
            </w:pPr>
            <w:r w:rsidRPr="00D44518">
              <w:rPr>
                <w:rFonts w:eastAsia="Times New Roman"/>
                <w:sz w:val="20"/>
                <w:szCs w:val="20"/>
                <w:lang w:val="nl-BE"/>
              </w:rPr>
              <w:t xml:space="preserve">2. </w:t>
            </w:r>
            <w:proofErr w:type="spellStart"/>
            <w:r w:rsidRPr="00D44518">
              <w:rPr>
                <w:rFonts w:eastAsia="Times New Roman"/>
                <w:sz w:val="20"/>
                <w:szCs w:val="20"/>
                <w:lang w:val="nl-BE"/>
              </w:rPr>
              <w:t>Ethical</w:t>
            </w:r>
            <w:proofErr w:type="spellEnd"/>
            <w:r w:rsidRPr="00D44518">
              <w:rPr>
                <w:rFonts w:eastAsia="Times New Roman"/>
                <w:sz w:val="20"/>
                <w:szCs w:val="20"/>
                <w:lang w:val="nl-BE"/>
              </w:rPr>
              <w:t xml:space="preserve"> </w:t>
            </w:r>
            <w:proofErr w:type="spellStart"/>
            <w:r w:rsidRPr="00D44518">
              <w:rPr>
                <w:rFonts w:eastAsia="Times New Roman"/>
                <w:sz w:val="20"/>
                <w:szCs w:val="20"/>
                <w:lang w:val="nl-BE"/>
              </w:rPr>
              <w:t>principles</w:t>
            </w:r>
            <w:proofErr w:type="spellEnd"/>
          </w:p>
        </w:tc>
        <w:tc>
          <w:tcPr>
            <w:tcW w:w="1791" w:type="dxa"/>
            <w:shd w:val="clear" w:color="auto" w:fill="auto"/>
          </w:tcPr>
          <w:p w:rsidR="00772D8C" w:rsidRPr="00D44518" w:rsidRDefault="00947F78" w:rsidP="00947F78">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772D8C" w:rsidRPr="00B6443F" w:rsidRDefault="0005401C"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NTNU follows the codes of ethics of </w:t>
            </w:r>
            <w:hyperlink r:id="rId10" w:history="1">
              <w:r w:rsidRPr="00B6443F">
                <w:rPr>
                  <w:rStyle w:val="Hyperkobling"/>
                  <w:rFonts w:asciiTheme="minorHAnsi" w:hAnsiTheme="minorHAnsi" w:cstheme="minorHAnsi"/>
                  <w:sz w:val="18"/>
                  <w:szCs w:val="18"/>
                </w:rPr>
                <w:t>the Norwegian National Research Ethics Committees</w:t>
              </w:r>
            </w:hyperlink>
            <w:r w:rsidRPr="00B6443F">
              <w:rPr>
                <w:rFonts w:asciiTheme="minorHAnsi" w:hAnsiTheme="minorHAnsi" w:cstheme="minorHAnsi"/>
                <w:sz w:val="18"/>
                <w:szCs w:val="18"/>
              </w:rPr>
              <w:t xml:space="preserve">. Cases of suspected misconduct are handled at the appropriate level by the Department/Faculty or by the NTNU </w:t>
            </w:r>
            <w:hyperlink r:id="rId11" w:history="1">
              <w:r w:rsidRPr="00B6443F">
                <w:rPr>
                  <w:rStyle w:val="Hyperkobling"/>
                  <w:rFonts w:asciiTheme="minorHAnsi" w:hAnsiTheme="minorHAnsi" w:cstheme="minorHAnsi"/>
                  <w:sz w:val="18"/>
                  <w:szCs w:val="18"/>
                </w:rPr>
                <w:t>Research Ethics Committee</w:t>
              </w:r>
            </w:hyperlink>
            <w:r w:rsidRPr="00B6443F">
              <w:rPr>
                <w:rFonts w:asciiTheme="minorHAnsi" w:hAnsiTheme="minorHAnsi" w:cstheme="minorHAnsi"/>
                <w:sz w:val="18"/>
                <w:szCs w:val="18"/>
              </w:rPr>
              <w:t xml:space="preserve">. The </w:t>
            </w:r>
            <w:hyperlink r:id="rId12" w:history="1">
              <w:r w:rsidRPr="00B6443F">
                <w:rPr>
                  <w:rStyle w:val="Hyperkobling"/>
                  <w:rFonts w:asciiTheme="minorHAnsi" w:hAnsiTheme="minorHAnsi" w:cstheme="minorHAnsi"/>
                  <w:sz w:val="18"/>
                  <w:szCs w:val="18"/>
                </w:rPr>
                <w:t>NTNU Ethics portal</w:t>
              </w:r>
            </w:hyperlink>
            <w:r w:rsidRPr="00B6443F">
              <w:rPr>
                <w:rFonts w:asciiTheme="minorHAnsi" w:hAnsiTheme="minorHAnsi" w:cstheme="minorHAnsi"/>
                <w:sz w:val="18"/>
                <w:szCs w:val="18"/>
              </w:rPr>
              <w:t xml:space="preserve"> invites staff to reflect on typical research ethical dilemmas. Research ethics is part of the researcher education in accordance with the European Qualifications Framework. </w:t>
            </w:r>
            <w:r w:rsidRPr="00B6443F">
              <w:rPr>
                <w:rFonts w:asciiTheme="minorHAnsi" w:hAnsiTheme="minorHAnsi" w:cstheme="minorHAnsi"/>
                <w:sz w:val="18"/>
                <w:szCs w:val="18"/>
              </w:rPr>
              <w:br/>
              <w:t>See also principles 3 and 31 on IPR, and principle 32 on co-authorship.</w:t>
            </w:r>
          </w:p>
        </w:tc>
        <w:tc>
          <w:tcPr>
            <w:tcW w:w="2607" w:type="dxa"/>
            <w:shd w:val="clear" w:color="auto" w:fill="auto"/>
          </w:tcPr>
          <w:p w:rsidR="00772D8C" w:rsidRPr="00D44518" w:rsidRDefault="00772D8C" w:rsidP="00414DDE">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 xml:space="preserve">3.Professional </w:t>
            </w:r>
            <w:proofErr w:type="spellStart"/>
            <w:r w:rsidRPr="00D44518">
              <w:rPr>
                <w:rFonts w:eastAsia="Times New Roman"/>
                <w:sz w:val="20"/>
                <w:szCs w:val="20"/>
                <w:lang w:val="nl-BE"/>
              </w:rPr>
              <w:t>responsibility</w:t>
            </w:r>
            <w:proofErr w:type="spellEnd"/>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NTNUs vision “</w:t>
            </w:r>
            <w:hyperlink r:id="rId13" w:history="1">
              <w:r w:rsidRPr="00B6443F">
                <w:rPr>
                  <w:rStyle w:val="Hyperkobling"/>
                  <w:rFonts w:asciiTheme="minorHAnsi" w:hAnsiTheme="minorHAnsi" w:cstheme="minorHAnsi"/>
                  <w:sz w:val="18"/>
                  <w:szCs w:val="18"/>
                </w:rPr>
                <w:t>Knowledge for a better world</w:t>
              </w:r>
            </w:hyperlink>
            <w:r w:rsidRPr="00B6443F">
              <w:rPr>
                <w:rFonts w:asciiTheme="minorHAnsi" w:hAnsiTheme="minorHAnsi" w:cstheme="minorHAnsi"/>
                <w:sz w:val="18"/>
                <w:szCs w:val="18"/>
              </w:rPr>
              <w:t xml:space="preserve">” underlines the responsibility to share knowledge, research results and data. </w:t>
            </w:r>
            <w:hyperlink r:id="rId14" w:history="1">
              <w:r w:rsidRPr="00B6443F">
                <w:rPr>
                  <w:rStyle w:val="Hyperkobling"/>
                  <w:rFonts w:asciiTheme="minorHAnsi" w:hAnsiTheme="minorHAnsi" w:cstheme="minorHAnsi"/>
                  <w:sz w:val="18"/>
                  <w:szCs w:val="18"/>
                </w:rPr>
                <w:t>NTNUs IPR policy</w:t>
              </w:r>
            </w:hyperlink>
            <w:r w:rsidRPr="00B6443F">
              <w:rPr>
                <w:rFonts w:asciiTheme="minorHAnsi" w:hAnsiTheme="minorHAnsi" w:cstheme="minorHAnsi"/>
                <w:sz w:val="18"/>
                <w:szCs w:val="18"/>
              </w:rPr>
              <w:t xml:space="preserve"> clarifies the ownership and management of IPR for staff, students, and external partners. Patentable inventions developed by NTNU employees </w:t>
            </w:r>
            <w:r w:rsidR="00D50F9A" w:rsidRPr="00B6443F">
              <w:rPr>
                <w:rFonts w:asciiTheme="minorHAnsi" w:hAnsiTheme="minorHAnsi" w:cstheme="minorHAnsi"/>
                <w:sz w:val="18"/>
                <w:szCs w:val="18"/>
              </w:rPr>
              <w:t>are</w:t>
            </w:r>
            <w:r w:rsidRPr="00B6443F">
              <w:rPr>
                <w:rFonts w:asciiTheme="minorHAnsi" w:hAnsiTheme="minorHAnsi" w:cstheme="minorHAnsi"/>
                <w:sz w:val="18"/>
                <w:szCs w:val="18"/>
              </w:rPr>
              <w:t xml:space="preserve"> owned by NTNU (Act respecting the right to employees’ inventions). </w:t>
            </w:r>
            <w:r w:rsidR="00D50F9A" w:rsidRPr="00B6443F">
              <w:rPr>
                <w:rFonts w:asciiTheme="minorHAnsi" w:hAnsiTheme="minorHAnsi" w:cstheme="minorHAnsi"/>
                <w:sz w:val="18"/>
                <w:szCs w:val="18"/>
              </w:rPr>
              <w:br/>
            </w:r>
            <w:r w:rsidRPr="00B6443F">
              <w:rPr>
                <w:rFonts w:asciiTheme="minorHAnsi" w:hAnsiTheme="minorHAnsi" w:cstheme="minorHAnsi"/>
                <w:sz w:val="18"/>
                <w:szCs w:val="18"/>
              </w:rPr>
              <w:t>See principle 2 on research ethics and principle 4 on project management.</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4. Professional attitude</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The individual researcher is responsible for their own research. The project manager (supervisor) is responsible to follow regulations and fulfil contractual obligations. Nonconformity is a management responsibility according to the NTNU internal control system. See </w:t>
            </w:r>
            <w:hyperlink r:id="rId15" w:history="1">
              <w:r w:rsidRPr="00B6443F">
                <w:rPr>
                  <w:rStyle w:val="Hyperkobling"/>
                  <w:rFonts w:asciiTheme="minorHAnsi" w:hAnsiTheme="minorHAnsi" w:cstheme="minorHAnsi"/>
                  <w:sz w:val="18"/>
                  <w:szCs w:val="18"/>
                </w:rPr>
                <w:t>step-by-step guide to research project management</w:t>
              </w:r>
            </w:hyperlink>
            <w:r w:rsidRPr="00B6443F">
              <w:rPr>
                <w:rFonts w:asciiTheme="minorHAnsi" w:hAnsiTheme="minorHAnsi" w:cstheme="minorHAnsi"/>
                <w:sz w:val="18"/>
                <w:szCs w:val="18"/>
              </w:rPr>
              <w:t xml:space="preserve">. For projects which require approval according to among others the Health Research Act and </w:t>
            </w:r>
            <w:r w:rsidRPr="00B6443F">
              <w:rPr>
                <w:rStyle w:val="Utheving"/>
                <w:rFonts w:asciiTheme="minorHAnsi" w:hAnsiTheme="minorHAnsi" w:cstheme="minorHAnsi"/>
                <w:i w:val="0"/>
                <w:sz w:val="18"/>
                <w:szCs w:val="18"/>
              </w:rPr>
              <w:t>General Data Protection Regulation</w:t>
            </w:r>
            <w:r w:rsidRPr="00B6443F">
              <w:rPr>
                <w:rFonts w:asciiTheme="minorHAnsi" w:hAnsiTheme="minorHAnsi" w:cstheme="minorHAnsi"/>
                <w:sz w:val="18"/>
                <w:szCs w:val="18"/>
              </w:rPr>
              <w:t>, institutional guidelines exist. In consequence of the new GDPR Regulations, procedures for approval and handling of personal data are revised, and a Data Protection Officer engaged (2018).</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rPr>
                <w:rFonts w:eastAsia="Times New Roman"/>
                <w:sz w:val="20"/>
                <w:szCs w:val="20"/>
                <w:lang w:val="nl-BE"/>
              </w:rPr>
            </w:pPr>
            <w:r w:rsidRPr="00D44518">
              <w:rPr>
                <w:rFonts w:eastAsia="Times New Roman"/>
                <w:sz w:val="20"/>
                <w:szCs w:val="20"/>
                <w:lang w:val="nl-BE"/>
              </w:rPr>
              <w:t>5. Contractual and legal obligations</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NTNUs standard employment contract includes reference to relevant legislation on working conditions such as the Civil Service Act and the Working Environment Act. See principle 3 with respect to IPR regulations and principle 4 with respect to research project management.</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D91289">
        <w:trPr>
          <w:trHeight w:val="1512"/>
        </w:trPr>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6. Accountability</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hAnsiTheme="minorHAnsi" w:cstheme="minorHAnsi"/>
                <w:sz w:val="18"/>
                <w:szCs w:val="18"/>
              </w:rPr>
            </w:pPr>
            <w:r w:rsidRPr="00B6443F">
              <w:rPr>
                <w:rFonts w:asciiTheme="minorHAnsi" w:hAnsiTheme="minorHAnsi" w:cstheme="minorHAnsi"/>
                <w:sz w:val="18"/>
                <w:szCs w:val="18"/>
              </w:rPr>
              <w:t xml:space="preserve">See principle 4 on research project management. Auditing rights are standard in EU research contracts, contracts with the Research Council of Norway, and more and more contracts with companies. The Office of the Auditor General in Norway and the newly established Internal Audit at NTNU will also scrutinize research related activities in their thematic audits. </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D91289">
        <w:trPr>
          <w:trHeight w:val="2248"/>
        </w:trPr>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7. Good practice in research</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hAnsiTheme="minorHAnsi" w:cstheme="minorHAnsi"/>
                <w:sz w:val="18"/>
                <w:szCs w:val="18"/>
              </w:rPr>
            </w:pPr>
            <w:r w:rsidRPr="00B6443F">
              <w:rPr>
                <w:rFonts w:asciiTheme="minorHAnsi" w:hAnsiTheme="minorHAnsi" w:cstheme="minorHAnsi"/>
                <w:sz w:val="18"/>
                <w:szCs w:val="18"/>
              </w:rPr>
              <w:t xml:space="preserve">NTNU works systematically with Health, Environment and Security (HES), including learning, guidelines, nonconformity procedures, risk analysis and crisis preparedness. </w:t>
            </w:r>
          </w:p>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NTNU has </w:t>
            </w:r>
            <w:hyperlink r:id="rId16" w:history="1">
              <w:r w:rsidRPr="00B6443F">
                <w:rPr>
                  <w:rStyle w:val="Hyperkobling"/>
                  <w:rFonts w:asciiTheme="minorHAnsi" w:hAnsiTheme="minorHAnsi" w:cstheme="minorHAnsi"/>
                  <w:sz w:val="18"/>
                  <w:szCs w:val="18"/>
                </w:rPr>
                <w:t>guidelines for ICT safety</w:t>
              </w:r>
            </w:hyperlink>
            <w:r w:rsidRPr="00B6443F">
              <w:rPr>
                <w:rFonts w:asciiTheme="minorHAnsi" w:hAnsiTheme="minorHAnsi" w:cstheme="minorHAnsi"/>
                <w:sz w:val="18"/>
                <w:szCs w:val="18"/>
              </w:rPr>
              <w:t xml:space="preserve"> in accordance with national requirements. In NTNUs internal control system, the responsibility for protection of personal data and biological material rests with the project manager: risk assessment, approval of data collection, safe storage, access </w:t>
            </w:r>
            <w:r w:rsidRPr="00B6443F">
              <w:rPr>
                <w:rFonts w:asciiTheme="minorHAnsi" w:hAnsiTheme="minorHAnsi" w:cstheme="minorHAnsi"/>
                <w:sz w:val="18"/>
                <w:szCs w:val="18"/>
              </w:rPr>
              <w:lastRenderedPageBreak/>
              <w:t xml:space="preserve">to data and deletion. NTNU has solutions for safe data storage, transfer of data and deletion (see </w:t>
            </w:r>
            <w:hyperlink r:id="rId17" w:history="1">
              <w:r w:rsidRPr="00B6443F">
                <w:rPr>
                  <w:rStyle w:val="Hyperkobling"/>
                  <w:rFonts w:asciiTheme="minorHAnsi" w:hAnsiTheme="minorHAnsi" w:cstheme="minorHAnsi"/>
                  <w:sz w:val="18"/>
                  <w:szCs w:val="18"/>
                </w:rPr>
                <w:t>health research</w:t>
              </w:r>
            </w:hyperlink>
            <w:r w:rsidRPr="00B6443F">
              <w:rPr>
                <w:rFonts w:asciiTheme="minorHAnsi" w:hAnsiTheme="minorHAnsi" w:cstheme="minorHAnsi"/>
                <w:sz w:val="18"/>
                <w:szCs w:val="18"/>
              </w:rPr>
              <w:t xml:space="preserve"> – in Norwegian only). </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8. Dissemination, exploitation of results</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hAnsiTheme="minorHAnsi" w:cstheme="minorHAnsi"/>
                <w:sz w:val="18"/>
                <w:szCs w:val="18"/>
              </w:rPr>
            </w:pPr>
            <w:r w:rsidRPr="00B6443F">
              <w:rPr>
                <w:rFonts w:asciiTheme="minorHAnsi" w:hAnsiTheme="minorHAnsi" w:cstheme="minorHAnsi"/>
                <w:sz w:val="18"/>
                <w:szCs w:val="18"/>
              </w:rPr>
              <w:t xml:space="preserve">NTNUs strategy «Knowledge for a better world» emphasises the social responsibility to disseminate knowledge and exploit research results. NTNU has developed an ecosystem for innovation and entrepreneurship encouraging and </w:t>
            </w:r>
            <w:hyperlink r:id="rId18" w:history="1">
              <w:r w:rsidRPr="00B6443F">
                <w:rPr>
                  <w:rStyle w:val="Hyperkobling"/>
                  <w:rFonts w:asciiTheme="minorHAnsi" w:hAnsiTheme="minorHAnsi" w:cstheme="minorHAnsi"/>
                  <w:sz w:val="18"/>
                  <w:szCs w:val="18"/>
                </w:rPr>
                <w:t>supporting commercialization</w:t>
              </w:r>
            </w:hyperlink>
            <w:r w:rsidRPr="00B6443F">
              <w:rPr>
                <w:rFonts w:asciiTheme="minorHAnsi" w:hAnsiTheme="minorHAnsi" w:cstheme="minorHAnsi"/>
                <w:sz w:val="18"/>
                <w:szCs w:val="18"/>
              </w:rPr>
              <w:t xml:space="preserve">. It includes among others an </w:t>
            </w:r>
            <w:hyperlink r:id="rId19" w:history="1">
              <w:r w:rsidRPr="00B6443F">
                <w:rPr>
                  <w:rStyle w:val="Hyperkobling"/>
                  <w:rFonts w:asciiTheme="minorHAnsi" w:hAnsiTheme="minorHAnsi" w:cstheme="minorHAnsi"/>
                  <w:sz w:val="18"/>
                  <w:szCs w:val="18"/>
                </w:rPr>
                <w:t>NTNU Technology Transfer Office</w:t>
              </w:r>
            </w:hyperlink>
            <w:r w:rsidRPr="00B6443F">
              <w:rPr>
                <w:rFonts w:asciiTheme="minorHAnsi" w:hAnsiTheme="minorHAnsi" w:cstheme="minorHAnsi"/>
                <w:sz w:val="18"/>
                <w:szCs w:val="18"/>
              </w:rPr>
              <w:t xml:space="preserve"> (legal duty of employees to report inventions) and pre-seed funding through </w:t>
            </w:r>
            <w:hyperlink r:id="rId20" w:history="1">
              <w:r w:rsidRPr="00B6443F">
                <w:rPr>
                  <w:rStyle w:val="Hyperkobling"/>
                  <w:rFonts w:asciiTheme="minorHAnsi" w:hAnsiTheme="minorHAnsi" w:cstheme="minorHAnsi"/>
                  <w:sz w:val="18"/>
                  <w:szCs w:val="18"/>
                </w:rPr>
                <w:t>NTNU Discovery</w:t>
              </w:r>
            </w:hyperlink>
            <w:r w:rsidRPr="00B6443F">
              <w:rPr>
                <w:rFonts w:asciiTheme="minorHAnsi" w:hAnsiTheme="minorHAnsi" w:cstheme="minorHAnsi"/>
                <w:sz w:val="18"/>
                <w:szCs w:val="18"/>
              </w:rPr>
              <w:t xml:space="preserve">. </w:t>
            </w:r>
          </w:p>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Researchers are encouraged to </w:t>
            </w:r>
            <w:hyperlink r:id="rId21" w:history="1">
              <w:r w:rsidRPr="00B6443F">
                <w:rPr>
                  <w:rStyle w:val="Hyperkobling"/>
                  <w:rFonts w:asciiTheme="minorHAnsi" w:hAnsiTheme="minorHAnsi" w:cstheme="minorHAnsi"/>
                  <w:sz w:val="18"/>
                  <w:szCs w:val="18"/>
                </w:rPr>
                <w:t>disseminate research</w:t>
              </w:r>
            </w:hyperlink>
            <w:r w:rsidRPr="00B6443F">
              <w:rPr>
                <w:rFonts w:asciiTheme="minorHAnsi" w:hAnsiTheme="minorHAnsi" w:cstheme="minorHAnsi"/>
                <w:sz w:val="18"/>
                <w:szCs w:val="18"/>
              </w:rPr>
              <w:t xml:space="preserve"> in academic publications and to the wider public. Publications are registered in the national database Christin; Registrations are taken into account in the national and institutional budget model. NTNU encourages </w:t>
            </w:r>
            <w:hyperlink r:id="rId22" w:history="1">
              <w:r w:rsidRPr="00B6443F">
                <w:rPr>
                  <w:rStyle w:val="Hyperkobling"/>
                  <w:rFonts w:asciiTheme="minorHAnsi" w:hAnsiTheme="minorHAnsi" w:cstheme="minorHAnsi"/>
                  <w:sz w:val="18"/>
                  <w:szCs w:val="18"/>
                </w:rPr>
                <w:t>Open Access</w:t>
              </w:r>
            </w:hyperlink>
            <w:r w:rsidRPr="00B6443F">
              <w:rPr>
                <w:rFonts w:asciiTheme="minorHAnsi" w:hAnsiTheme="minorHAnsi" w:cstheme="minorHAnsi"/>
                <w:sz w:val="18"/>
                <w:szCs w:val="18"/>
              </w:rPr>
              <w:t xml:space="preserve"> to research publication (publication funding available) and access to </w:t>
            </w:r>
            <w:hyperlink r:id="rId23" w:history="1">
              <w:r w:rsidRPr="00B6443F">
                <w:rPr>
                  <w:rStyle w:val="Hyperkobling"/>
                  <w:rFonts w:asciiTheme="minorHAnsi" w:hAnsiTheme="minorHAnsi" w:cstheme="minorHAnsi"/>
                  <w:sz w:val="18"/>
                  <w:szCs w:val="18"/>
                </w:rPr>
                <w:t>Open Data</w:t>
              </w:r>
            </w:hyperlink>
            <w:r w:rsidRPr="00B6443F">
              <w:rPr>
                <w:rFonts w:asciiTheme="minorHAnsi" w:hAnsiTheme="minorHAnsi" w:cstheme="minorHAnsi"/>
                <w:sz w:val="18"/>
                <w:szCs w:val="18"/>
              </w:rPr>
              <w:t xml:space="preserve"> (</w:t>
            </w:r>
            <w:hyperlink r:id="rId24" w:history="1">
              <w:r w:rsidRPr="00B6443F">
                <w:rPr>
                  <w:rStyle w:val="Hyperkobling"/>
                  <w:rFonts w:asciiTheme="minorHAnsi" w:hAnsiTheme="minorHAnsi" w:cstheme="minorHAnsi"/>
                  <w:sz w:val="18"/>
                  <w:szCs w:val="18"/>
                </w:rPr>
                <w:t>data management plans</w:t>
              </w:r>
            </w:hyperlink>
            <w:r w:rsidRPr="00B6443F">
              <w:rPr>
                <w:rFonts w:asciiTheme="minorHAnsi" w:hAnsiTheme="minorHAnsi" w:cstheme="minorHAnsi"/>
                <w:sz w:val="18"/>
                <w:szCs w:val="18"/>
              </w:rPr>
              <w:t xml:space="preserve"> and infrastructure)</w:t>
            </w:r>
            <w:r w:rsidR="009C692F" w:rsidRPr="00B6443F">
              <w:rPr>
                <w:rFonts w:asciiTheme="minorHAnsi" w:hAnsiTheme="minorHAnsi" w:cstheme="minorHAnsi"/>
                <w:sz w:val="18"/>
                <w:szCs w:val="18"/>
              </w:rPr>
              <w:t>. It is challenging areas, and NTNU is preparing for a future where Open Access and Data</w:t>
            </w:r>
            <w:r w:rsidR="00B818F1" w:rsidRPr="00B6443F">
              <w:rPr>
                <w:rFonts w:asciiTheme="minorHAnsi" w:hAnsiTheme="minorHAnsi" w:cstheme="minorHAnsi"/>
                <w:sz w:val="18"/>
                <w:szCs w:val="18"/>
              </w:rPr>
              <w:t xml:space="preserve"> become an obligation for publically funded research (EU, Research Council of Norway, Ministry</w:t>
            </w:r>
            <w:r w:rsidR="009C692F" w:rsidRPr="00B6443F">
              <w:rPr>
                <w:rFonts w:asciiTheme="minorHAnsi" w:hAnsiTheme="minorHAnsi" w:cstheme="minorHAnsi"/>
                <w:sz w:val="18"/>
                <w:szCs w:val="18"/>
              </w:rPr>
              <w:t xml:space="preserve"> funding</w:t>
            </w:r>
            <w:r w:rsidR="00B818F1" w:rsidRPr="00B6443F">
              <w:rPr>
                <w:rFonts w:asciiTheme="minorHAnsi" w:hAnsiTheme="minorHAnsi" w:cstheme="minorHAnsi"/>
                <w:sz w:val="18"/>
                <w:szCs w:val="18"/>
              </w:rPr>
              <w:t>).</w:t>
            </w:r>
            <w:r w:rsidRPr="00B6443F">
              <w:rPr>
                <w:rFonts w:asciiTheme="minorHAnsi" w:hAnsiTheme="minorHAnsi" w:cstheme="minorHAnsi"/>
                <w:sz w:val="18"/>
                <w:szCs w:val="18"/>
              </w:rPr>
              <w:t xml:space="preserve"> </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9. Public engagement</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NTNU is widely involved in society through external research collaboration and dissemination to the wider public (science and innovation fairs, school visits, contributions to TV-programmes). </w:t>
            </w:r>
            <w:hyperlink r:id="rId25" w:history="1">
              <w:r w:rsidR="009C692F" w:rsidRPr="00B6443F">
                <w:rPr>
                  <w:rStyle w:val="Hyperkobling"/>
                  <w:rFonts w:asciiTheme="minorHAnsi" w:hAnsiTheme="minorHAnsi" w:cstheme="minorHAnsi"/>
                  <w:sz w:val="18"/>
                  <w:szCs w:val="18"/>
                </w:rPr>
                <w:t>Gemini</w:t>
              </w:r>
            </w:hyperlink>
            <w:r w:rsidR="009C692F" w:rsidRPr="00B6443F">
              <w:rPr>
                <w:rFonts w:asciiTheme="minorHAnsi" w:hAnsiTheme="minorHAnsi" w:cstheme="minorHAnsi"/>
                <w:sz w:val="18"/>
                <w:szCs w:val="18"/>
              </w:rPr>
              <w:t xml:space="preserve"> is NTNUs own channel for research news. </w:t>
            </w:r>
            <w:r w:rsidRPr="00B6443F">
              <w:rPr>
                <w:rFonts w:asciiTheme="minorHAnsi" w:hAnsiTheme="minorHAnsi" w:cstheme="minorHAnsi"/>
                <w:sz w:val="18"/>
                <w:szCs w:val="18"/>
              </w:rPr>
              <w:t>See also Principle 8 dissemination</w:t>
            </w:r>
            <w:r w:rsidR="009C692F" w:rsidRPr="00B6443F">
              <w:rPr>
                <w:rFonts w:asciiTheme="minorHAnsi" w:hAnsiTheme="minorHAnsi" w:cstheme="minorHAnsi"/>
                <w:sz w:val="18"/>
                <w:szCs w:val="18"/>
              </w:rPr>
              <w:t>.</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10. Non discrimination</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NTNU strategy, </w:t>
            </w:r>
            <w:hyperlink r:id="rId26" w:history="1">
              <w:r w:rsidRPr="00B6443F">
                <w:rPr>
                  <w:rStyle w:val="Hyperkobling"/>
                  <w:rFonts w:asciiTheme="minorHAnsi" w:hAnsiTheme="minorHAnsi" w:cstheme="minorHAnsi"/>
                  <w:sz w:val="18"/>
                  <w:szCs w:val="18"/>
                </w:rPr>
                <w:t>HR Policy</w:t>
              </w:r>
            </w:hyperlink>
            <w:r w:rsidRPr="00B6443F">
              <w:rPr>
                <w:rFonts w:asciiTheme="minorHAnsi" w:hAnsiTheme="minorHAnsi" w:cstheme="minorHAnsi"/>
                <w:sz w:val="18"/>
                <w:szCs w:val="18"/>
              </w:rPr>
              <w:t xml:space="preserve"> and </w:t>
            </w:r>
            <w:r w:rsidR="009C692F" w:rsidRPr="00B6443F">
              <w:rPr>
                <w:rFonts w:asciiTheme="minorHAnsi" w:hAnsiTheme="minorHAnsi" w:cstheme="minorHAnsi"/>
                <w:sz w:val="18"/>
                <w:szCs w:val="18"/>
              </w:rPr>
              <w:t>S</w:t>
            </w:r>
            <w:r w:rsidRPr="00B6443F">
              <w:rPr>
                <w:rFonts w:asciiTheme="minorHAnsi" w:hAnsiTheme="minorHAnsi" w:cstheme="minorHAnsi"/>
                <w:sz w:val="18"/>
                <w:szCs w:val="18"/>
              </w:rPr>
              <w:t xml:space="preserve">taff </w:t>
            </w:r>
            <w:r w:rsidR="000C27A5" w:rsidRPr="00B6443F">
              <w:rPr>
                <w:rFonts w:asciiTheme="minorHAnsi" w:hAnsiTheme="minorHAnsi" w:cstheme="minorHAnsi"/>
                <w:sz w:val="18"/>
                <w:szCs w:val="18"/>
              </w:rPr>
              <w:t>R</w:t>
            </w:r>
            <w:r w:rsidRPr="00B6443F">
              <w:rPr>
                <w:rFonts w:asciiTheme="minorHAnsi" w:hAnsiTheme="minorHAnsi" w:cstheme="minorHAnsi"/>
                <w:sz w:val="18"/>
                <w:szCs w:val="18"/>
              </w:rPr>
              <w:t xml:space="preserve">egulations for </w:t>
            </w:r>
            <w:r w:rsidR="000C27A5" w:rsidRPr="00B6443F">
              <w:rPr>
                <w:rFonts w:asciiTheme="minorHAnsi" w:hAnsiTheme="minorHAnsi" w:cstheme="minorHAnsi"/>
                <w:sz w:val="18"/>
                <w:szCs w:val="18"/>
              </w:rPr>
              <w:t>A</w:t>
            </w:r>
            <w:r w:rsidRPr="00B6443F">
              <w:rPr>
                <w:rFonts w:asciiTheme="minorHAnsi" w:hAnsiTheme="minorHAnsi" w:cstheme="minorHAnsi"/>
                <w:sz w:val="18"/>
                <w:szCs w:val="18"/>
              </w:rPr>
              <w:t xml:space="preserve">cademic </w:t>
            </w:r>
            <w:r w:rsidR="000C27A5" w:rsidRPr="00B6443F">
              <w:rPr>
                <w:rFonts w:asciiTheme="minorHAnsi" w:hAnsiTheme="minorHAnsi" w:cstheme="minorHAnsi"/>
                <w:sz w:val="18"/>
                <w:szCs w:val="18"/>
              </w:rPr>
              <w:t>P</w:t>
            </w:r>
            <w:r w:rsidRPr="00B6443F">
              <w:rPr>
                <w:rFonts w:asciiTheme="minorHAnsi" w:hAnsiTheme="minorHAnsi" w:cstheme="minorHAnsi"/>
                <w:sz w:val="18"/>
                <w:szCs w:val="18"/>
              </w:rPr>
              <w:t xml:space="preserve">osts state that NTNU shall show tolerance irrespective of gender, culture or outlook on life. NTNU is particularly focusing on gender equality and diversity. NTNU is committed to adapt </w:t>
            </w:r>
            <w:r w:rsidR="009C692F" w:rsidRPr="00B6443F">
              <w:rPr>
                <w:rFonts w:asciiTheme="minorHAnsi" w:hAnsiTheme="minorHAnsi" w:cstheme="minorHAnsi"/>
                <w:sz w:val="18"/>
                <w:szCs w:val="18"/>
              </w:rPr>
              <w:t xml:space="preserve">the </w:t>
            </w:r>
            <w:r w:rsidRPr="00B6443F">
              <w:rPr>
                <w:rFonts w:asciiTheme="minorHAnsi" w:hAnsiTheme="minorHAnsi" w:cstheme="minorHAnsi"/>
                <w:sz w:val="18"/>
                <w:szCs w:val="18"/>
              </w:rPr>
              <w:t>workplace, duties, and working hours to the employees working ability and phase of life. Permanent academic staff must master Norwegian or a Scandinavian language within</w:t>
            </w:r>
            <w:r w:rsidR="00DA1A02" w:rsidRPr="00B6443F">
              <w:rPr>
                <w:rFonts w:asciiTheme="minorHAnsi" w:hAnsiTheme="minorHAnsi" w:cstheme="minorHAnsi"/>
                <w:sz w:val="18"/>
                <w:szCs w:val="18"/>
              </w:rPr>
              <w:t xml:space="preserve"> 3 years; Norwegian courses are offered</w:t>
            </w:r>
            <w:r w:rsidRPr="00B6443F">
              <w:rPr>
                <w:rFonts w:asciiTheme="minorHAnsi" w:hAnsiTheme="minorHAnsi" w:cstheme="minorHAnsi"/>
                <w:sz w:val="18"/>
                <w:szCs w:val="18"/>
              </w:rPr>
              <w:t>. It is often possible to teach in English at higher levels.</w:t>
            </w:r>
            <w:r w:rsidR="00DA1A02" w:rsidRPr="00B6443F">
              <w:rPr>
                <w:rFonts w:asciiTheme="minorHAnsi" w:hAnsiTheme="minorHAnsi" w:cstheme="minorHAnsi"/>
                <w:sz w:val="18"/>
                <w:szCs w:val="18"/>
              </w:rPr>
              <w:t xml:space="preserve"> </w:t>
            </w:r>
            <w:r w:rsidR="001C210D" w:rsidRPr="00B6443F">
              <w:rPr>
                <w:rFonts w:asciiTheme="minorHAnsi" w:hAnsiTheme="minorHAnsi" w:cstheme="minorHAnsi"/>
                <w:sz w:val="18"/>
                <w:szCs w:val="18"/>
              </w:rPr>
              <w:t xml:space="preserve">The </w:t>
            </w:r>
            <w:hyperlink r:id="rId27" w:history="1">
              <w:r w:rsidR="001C210D" w:rsidRPr="00B6443F">
                <w:rPr>
                  <w:rStyle w:val="Hyperkobling"/>
                  <w:rFonts w:asciiTheme="minorHAnsi" w:hAnsiTheme="minorHAnsi" w:cstheme="minorHAnsi"/>
                  <w:sz w:val="18"/>
                  <w:szCs w:val="18"/>
                </w:rPr>
                <w:t>NTNU Action Plan for Gender</w:t>
              </w:r>
              <w:r w:rsidR="00773645" w:rsidRPr="00B6443F">
                <w:rPr>
                  <w:rStyle w:val="Hyperkobling"/>
                  <w:rFonts w:asciiTheme="minorHAnsi" w:hAnsiTheme="minorHAnsi" w:cstheme="minorHAnsi"/>
                  <w:sz w:val="18"/>
                  <w:szCs w:val="18"/>
                </w:rPr>
                <w:t xml:space="preserve"> Equality</w:t>
              </w:r>
              <w:r w:rsidR="001C210D" w:rsidRPr="00B6443F">
                <w:rPr>
                  <w:rStyle w:val="Hyperkobling"/>
                  <w:rFonts w:asciiTheme="minorHAnsi" w:hAnsiTheme="minorHAnsi" w:cstheme="minorHAnsi"/>
                  <w:sz w:val="18"/>
                  <w:szCs w:val="18"/>
                </w:rPr>
                <w:t xml:space="preserve"> and Diversity </w:t>
              </w:r>
            </w:hyperlink>
            <w:r w:rsidR="001C210D" w:rsidRPr="00B6443F">
              <w:rPr>
                <w:rFonts w:asciiTheme="minorHAnsi" w:hAnsiTheme="minorHAnsi" w:cstheme="minorHAnsi"/>
                <w:sz w:val="18"/>
                <w:szCs w:val="18"/>
              </w:rPr>
              <w:t xml:space="preserve"> </w:t>
            </w:r>
            <w:r w:rsidR="00773645" w:rsidRPr="00B6443F">
              <w:rPr>
                <w:rFonts w:asciiTheme="minorHAnsi" w:hAnsiTheme="minorHAnsi" w:cstheme="minorHAnsi"/>
                <w:sz w:val="18"/>
                <w:szCs w:val="18"/>
              </w:rPr>
              <w:t>addresses the need to take suitable actions to better integrate the increasing number of international staff at NTNU</w:t>
            </w:r>
            <w:r w:rsidR="001C210D" w:rsidRPr="00B6443F">
              <w:rPr>
                <w:rFonts w:asciiTheme="minorHAnsi" w:hAnsiTheme="minorHAnsi" w:cstheme="minorHAnsi"/>
                <w:sz w:val="18"/>
                <w:szCs w:val="18"/>
              </w:rPr>
              <w:t xml:space="preserve">. </w:t>
            </w:r>
            <w:r w:rsidR="009C692F" w:rsidRPr="00B6443F">
              <w:rPr>
                <w:rFonts w:asciiTheme="minorHAnsi" w:hAnsiTheme="minorHAnsi" w:cstheme="minorHAnsi"/>
                <w:sz w:val="18"/>
                <w:szCs w:val="18"/>
              </w:rPr>
              <w:t xml:space="preserve">Norwegian is the official working language of the university, but </w:t>
            </w:r>
            <w:r w:rsidR="005F70E1" w:rsidRPr="00B6443F">
              <w:rPr>
                <w:rFonts w:asciiTheme="minorHAnsi" w:hAnsiTheme="minorHAnsi" w:cstheme="minorHAnsi"/>
                <w:sz w:val="18"/>
                <w:szCs w:val="18"/>
              </w:rPr>
              <w:t>more systematic parallel information in English is needed on the web and at the Departments.</w:t>
            </w:r>
            <w:r w:rsidR="009C692F" w:rsidRPr="00B6443F">
              <w:rPr>
                <w:rFonts w:asciiTheme="minorHAnsi" w:hAnsiTheme="minorHAnsi" w:cstheme="minorHAnsi"/>
                <w:sz w:val="18"/>
                <w:szCs w:val="18"/>
              </w:rPr>
              <w:t xml:space="preserve">  </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05401C">
        <w:tc>
          <w:tcPr>
            <w:tcW w:w="2882" w:type="dxa"/>
            <w:shd w:val="clear" w:color="auto" w:fill="auto"/>
          </w:tcPr>
          <w:p w:rsidR="00D91289" w:rsidRPr="00D44518" w:rsidRDefault="00D91289" w:rsidP="00D91289">
            <w:pPr>
              <w:spacing w:after="0" w:line="240" w:lineRule="auto"/>
              <w:jc w:val="both"/>
              <w:rPr>
                <w:rFonts w:eastAsia="Times New Roman"/>
                <w:sz w:val="20"/>
                <w:szCs w:val="20"/>
                <w:lang w:val="nl-BE"/>
              </w:rPr>
            </w:pPr>
            <w:r w:rsidRPr="00D44518">
              <w:rPr>
                <w:rFonts w:eastAsia="Times New Roman"/>
                <w:sz w:val="20"/>
                <w:szCs w:val="20"/>
                <w:lang w:val="nl-BE"/>
              </w:rPr>
              <w:t>11. Evaluation/ appraisal systems</w:t>
            </w:r>
          </w:p>
        </w:tc>
        <w:tc>
          <w:tcPr>
            <w:tcW w:w="1791" w:type="dxa"/>
            <w:shd w:val="clear" w:color="auto" w:fill="auto"/>
          </w:tcPr>
          <w:p w:rsidR="00D91289" w:rsidRPr="00D44518" w:rsidRDefault="00D91289" w:rsidP="00D91289">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D91289" w:rsidRPr="00B6443F" w:rsidRDefault="00D91289" w:rsidP="00BD4D91">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Norway has a unique appraisal system whereby academic staff may apply for promotion according to </w:t>
            </w:r>
            <w:hyperlink r:id="rId28" w:history="1">
              <w:r w:rsidRPr="00B6443F">
                <w:rPr>
                  <w:rStyle w:val="Hyperkobling"/>
                  <w:rFonts w:asciiTheme="minorHAnsi" w:hAnsiTheme="minorHAnsi" w:cstheme="minorHAnsi"/>
                  <w:sz w:val="18"/>
                  <w:szCs w:val="18"/>
                </w:rPr>
                <w:t>national r</w:t>
              </w:r>
              <w:r w:rsidRPr="00B6443F">
                <w:rPr>
                  <w:rStyle w:val="Hyperkobling"/>
                  <w:rFonts w:asciiTheme="minorHAnsi" w:hAnsiTheme="minorHAnsi" w:cstheme="minorHAnsi"/>
                  <w:bCs/>
                  <w:sz w:val="18"/>
                  <w:szCs w:val="18"/>
                </w:rPr>
                <w:t>egulations</w:t>
              </w:r>
            </w:hyperlink>
            <w:r w:rsidR="00BD4D91">
              <w:rPr>
                <w:rStyle w:val="Hyperkobling"/>
                <w:rFonts w:asciiTheme="minorHAnsi" w:hAnsiTheme="minorHAnsi" w:cstheme="minorHAnsi"/>
                <w:bCs/>
                <w:sz w:val="18"/>
                <w:szCs w:val="18"/>
              </w:rPr>
              <w:t xml:space="preserve">: </w:t>
            </w:r>
            <w:r w:rsidRPr="00717279">
              <w:rPr>
                <w:rFonts w:asciiTheme="minorHAnsi" w:hAnsiTheme="minorHAnsi" w:cstheme="minorHAnsi"/>
                <w:sz w:val="18"/>
                <w:szCs w:val="18"/>
              </w:rPr>
              <w:t xml:space="preserve">Associate professors </w:t>
            </w:r>
            <w:r w:rsidR="00BD4D91">
              <w:rPr>
                <w:rFonts w:asciiTheme="minorHAnsi" w:hAnsiTheme="minorHAnsi" w:cstheme="minorHAnsi"/>
                <w:sz w:val="18"/>
                <w:szCs w:val="18"/>
              </w:rPr>
              <w:t xml:space="preserve">(R3) </w:t>
            </w:r>
            <w:r w:rsidRPr="00717279">
              <w:rPr>
                <w:rFonts w:asciiTheme="minorHAnsi" w:hAnsiTheme="minorHAnsi" w:cstheme="minorHAnsi"/>
                <w:sz w:val="18"/>
                <w:szCs w:val="18"/>
              </w:rPr>
              <w:t>may apply for promotion to professor</w:t>
            </w:r>
            <w:r w:rsidR="00C00D82" w:rsidRPr="00717279">
              <w:rPr>
                <w:rFonts w:asciiTheme="minorHAnsi" w:hAnsiTheme="minorHAnsi" w:cstheme="minorHAnsi"/>
                <w:sz w:val="18"/>
                <w:szCs w:val="18"/>
              </w:rPr>
              <w:t xml:space="preserve"> (R4)</w:t>
            </w:r>
            <w:r w:rsidR="00BD4D91">
              <w:rPr>
                <w:rFonts w:asciiTheme="minorHAnsi" w:hAnsiTheme="minorHAnsi" w:cstheme="minorHAnsi"/>
                <w:sz w:val="18"/>
                <w:szCs w:val="18"/>
              </w:rPr>
              <w:t>, l</w:t>
            </w:r>
            <w:r w:rsidRPr="00717279">
              <w:rPr>
                <w:rFonts w:asciiTheme="minorHAnsi" w:hAnsiTheme="minorHAnsi" w:cstheme="minorHAnsi"/>
                <w:sz w:val="18"/>
                <w:szCs w:val="18"/>
              </w:rPr>
              <w:t xml:space="preserve">ecturers </w:t>
            </w:r>
            <w:r w:rsidR="00BD4D91">
              <w:rPr>
                <w:rFonts w:asciiTheme="minorHAnsi" w:hAnsiTheme="minorHAnsi" w:cstheme="minorHAnsi"/>
                <w:sz w:val="18"/>
                <w:szCs w:val="18"/>
              </w:rPr>
              <w:t xml:space="preserve">(R1) </w:t>
            </w:r>
            <w:r w:rsidRPr="00717279">
              <w:rPr>
                <w:rFonts w:asciiTheme="minorHAnsi" w:hAnsiTheme="minorHAnsi" w:cstheme="minorHAnsi"/>
                <w:sz w:val="18"/>
                <w:szCs w:val="18"/>
              </w:rPr>
              <w:t xml:space="preserve">may apply for promotion to </w:t>
            </w:r>
            <w:r w:rsidR="00C00D82" w:rsidRPr="00717279">
              <w:rPr>
                <w:rFonts w:asciiTheme="minorHAnsi" w:hAnsiTheme="minorHAnsi" w:cstheme="minorHAnsi"/>
                <w:sz w:val="18"/>
                <w:szCs w:val="18"/>
              </w:rPr>
              <w:t>research</w:t>
            </w:r>
            <w:r w:rsidRPr="00717279">
              <w:rPr>
                <w:rFonts w:asciiTheme="minorHAnsi" w:hAnsiTheme="minorHAnsi" w:cstheme="minorHAnsi"/>
                <w:sz w:val="18"/>
                <w:szCs w:val="18"/>
              </w:rPr>
              <w:t xml:space="preserve"> lecturer</w:t>
            </w:r>
            <w:r w:rsidR="00BD4D91">
              <w:rPr>
                <w:rFonts w:asciiTheme="minorHAnsi" w:hAnsiTheme="minorHAnsi" w:cstheme="minorHAnsi"/>
                <w:sz w:val="18"/>
                <w:szCs w:val="18"/>
              </w:rPr>
              <w:t xml:space="preserve"> </w:t>
            </w:r>
            <w:r w:rsidR="00C00D82" w:rsidRPr="00717279">
              <w:rPr>
                <w:rFonts w:asciiTheme="minorHAnsi" w:hAnsiTheme="minorHAnsi" w:cstheme="minorHAnsi"/>
                <w:sz w:val="18"/>
                <w:szCs w:val="18"/>
              </w:rPr>
              <w:t>“</w:t>
            </w:r>
            <w:proofErr w:type="spellStart"/>
            <w:r w:rsidR="00C00D82" w:rsidRPr="00717279">
              <w:rPr>
                <w:rFonts w:asciiTheme="minorHAnsi" w:hAnsiTheme="minorHAnsi" w:cstheme="minorHAnsi"/>
                <w:sz w:val="18"/>
                <w:szCs w:val="18"/>
              </w:rPr>
              <w:t>førstelektor</w:t>
            </w:r>
            <w:proofErr w:type="spellEnd"/>
            <w:r w:rsidR="00C00D82" w:rsidRPr="00717279">
              <w:rPr>
                <w:rFonts w:asciiTheme="minorHAnsi" w:hAnsiTheme="minorHAnsi" w:cstheme="minorHAnsi"/>
                <w:sz w:val="18"/>
                <w:szCs w:val="18"/>
              </w:rPr>
              <w:t>”</w:t>
            </w:r>
            <w:r w:rsidR="00BD4D91">
              <w:rPr>
                <w:rFonts w:asciiTheme="minorHAnsi" w:hAnsiTheme="minorHAnsi" w:cstheme="minorHAnsi"/>
                <w:sz w:val="18"/>
                <w:szCs w:val="18"/>
              </w:rPr>
              <w:t xml:space="preserve"> (R3</w:t>
            </w:r>
            <w:r w:rsidR="00C00D82" w:rsidRPr="00717279">
              <w:rPr>
                <w:rFonts w:asciiTheme="minorHAnsi" w:hAnsiTheme="minorHAnsi" w:cstheme="minorHAnsi"/>
                <w:sz w:val="18"/>
                <w:szCs w:val="18"/>
              </w:rPr>
              <w:t>)</w:t>
            </w:r>
            <w:r w:rsidR="00BD4D91">
              <w:rPr>
                <w:rFonts w:asciiTheme="minorHAnsi" w:hAnsiTheme="minorHAnsi" w:cstheme="minorHAnsi"/>
                <w:sz w:val="18"/>
                <w:szCs w:val="18"/>
              </w:rPr>
              <w:t>, and r</w:t>
            </w:r>
            <w:r w:rsidR="00C00D82" w:rsidRPr="00717279">
              <w:rPr>
                <w:rFonts w:asciiTheme="minorHAnsi" w:hAnsiTheme="minorHAnsi" w:cstheme="minorHAnsi"/>
                <w:sz w:val="18"/>
                <w:szCs w:val="18"/>
              </w:rPr>
              <w:t>esearch</w:t>
            </w:r>
            <w:r w:rsidRPr="00717279">
              <w:rPr>
                <w:rFonts w:asciiTheme="minorHAnsi" w:hAnsiTheme="minorHAnsi" w:cstheme="minorHAnsi"/>
                <w:sz w:val="18"/>
                <w:szCs w:val="18"/>
              </w:rPr>
              <w:t xml:space="preserve"> lecturers</w:t>
            </w:r>
            <w:r w:rsidR="00BD4D91">
              <w:rPr>
                <w:rFonts w:asciiTheme="minorHAnsi" w:hAnsiTheme="minorHAnsi" w:cstheme="minorHAnsi"/>
                <w:sz w:val="18"/>
                <w:szCs w:val="18"/>
              </w:rPr>
              <w:t xml:space="preserve"> (R3)</w:t>
            </w:r>
            <w:r w:rsidRPr="00717279">
              <w:rPr>
                <w:rFonts w:asciiTheme="minorHAnsi" w:hAnsiTheme="minorHAnsi" w:cstheme="minorHAnsi"/>
                <w:sz w:val="18"/>
                <w:szCs w:val="18"/>
              </w:rPr>
              <w:t xml:space="preserve"> </w:t>
            </w:r>
            <w:r w:rsidR="00C00D82" w:rsidRPr="00717279">
              <w:rPr>
                <w:rFonts w:asciiTheme="minorHAnsi" w:hAnsiTheme="minorHAnsi" w:cstheme="minorHAnsi"/>
                <w:sz w:val="18"/>
                <w:szCs w:val="18"/>
              </w:rPr>
              <w:t xml:space="preserve">may apply for promotion </w:t>
            </w:r>
            <w:r w:rsidRPr="00717279">
              <w:rPr>
                <w:rFonts w:asciiTheme="minorHAnsi" w:hAnsiTheme="minorHAnsi" w:cstheme="minorHAnsi"/>
                <w:sz w:val="18"/>
                <w:szCs w:val="18"/>
              </w:rPr>
              <w:t xml:space="preserve">to </w:t>
            </w:r>
            <w:r w:rsidR="00C00D82" w:rsidRPr="00717279">
              <w:rPr>
                <w:rFonts w:asciiTheme="minorHAnsi" w:hAnsiTheme="minorHAnsi" w:cstheme="minorHAnsi"/>
                <w:sz w:val="18"/>
                <w:szCs w:val="18"/>
              </w:rPr>
              <w:t>senior research lecturer</w:t>
            </w:r>
            <w:r w:rsidR="00BD4D91">
              <w:rPr>
                <w:rFonts w:asciiTheme="minorHAnsi" w:hAnsiTheme="minorHAnsi" w:cstheme="minorHAnsi"/>
                <w:sz w:val="18"/>
                <w:szCs w:val="18"/>
              </w:rPr>
              <w:t xml:space="preserve"> </w:t>
            </w:r>
            <w:r w:rsidR="00C00D82" w:rsidRPr="00717279">
              <w:rPr>
                <w:rFonts w:asciiTheme="minorHAnsi" w:hAnsiTheme="minorHAnsi" w:cstheme="minorHAnsi"/>
                <w:sz w:val="18"/>
                <w:szCs w:val="18"/>
              </w:rPr>
              <w:t>“</w:t>
            </w:r>
            <w:proofErr w:type="spellStart"/>
            <w:r w:rsidR="00C00D82" w:rsidRPr="00717279">
              <w:rPr>
                <w:rFonts w:asciiTheme="minorHAnsi" w:hAnsiTheme="minorHAnsi" w:cstheme="minorHAnsi"/>
                <w:sz w:val="18"/>
                <w:szCs w:val="18"/>
              </w:rPr>
              <w:t>dosent</w:t>
            </w:r>
            <w:proofErr w:type="spellEnd"/>
            <w:r w:rsidR="00C00D82" w:rsidRPr="00717279">
              <w:rPr>
                <w:rFonts w:asciiTheme="minorHAnsi" w:hAnsiTheme="minorHAnsi" w:cstheme="minorHAnsi"/>
                <w:sz w:val="18"/>
                <w:szCs w:val="18"/>
              </w:rPr>
              <w:t>”</w:t>
            </w:r>
            <w:r w:rsidR="00BD4D91">
              <w:rPr>
                <w:rFonts w:asciiTheme="minorHAnsi" w:hAnsiTheme="minorHAnsi" w:cstheme="minorHAnsi"/>
                <w:sz w:val="18"/>
                <w:szCs w:val="18"/>
              </w:rPr>
              <w:t xml:space="preserve"> (R4</w:t>
            </w:r>
            <w:r w:rsidR="00C00D82" w:rsidRPr="00717279">
              <w:rPr>
                <w:rFonts w:asciiTheme="minorHAnsi" w:hAnsiTheme="minorHAnsi" w:cstheme="minorHAnsi"/>
                <w:sz w:val="18"/>
                <w:szCs w:val="18"/>
              </w:rPr>
              <w:t>).</w:t>
            </w:r>
            <w:r w:rsidRPr="00717279">
              <w:rPr>
                <w:rFonts w:asciiTheme="minorHAnsi" w:hAnsiTheme="minorHAnsi" w:cstheme="minorHAnsi"/>
                <w:sz w:val="18"/>
                <w:szCs w:val="18"/>
              </w:rPr>
              <w:t xml:space="preserve"> </w:t>
            </w:r>
            <w:r w:rsidRPr="00B6443F">
              <w:rPr>
                <w:rFonts w:asciiTheme="minorHAnsi" w:hAnsiTheme="minorHAnsi" w:cstheme="minorHAnsi"/>
                <w:sz w:val="18"/>
                <w:szCs w:val="18"/>
              </w:rPr>
              <w:t xml:space="preserve">Researchers/staff may apply for a </w:t>
            </w:r>
            <w:r w:rsidR="00BD4D91">
              <w:rPr>
                <w:rFonts w:asciiTheme="minorHAnsi" w:hAnsiTheme="minorHAnsi" w:cstheme="minorHAnsi"/>
                <w:sz w:val="18"/>
                <w:szCs w:val="18"/>
              </w:rPr>
              <w:t>wage</w:t>
            </w:r>
            <w:r w:rsidRPr="00B6443F">
              <w:rPr>
                <w:rFonts w:asciiTheme="minorHAnsi" w:hAnsiTheme="minorHAnsi" w:cstheme="minorHAnsi"/>
                <w:sz w:val="18"/>
                <w:szCs w:val="18"/>
              </w:rPr>
              <w:t xml:space="preserve"> raise based on among others academic performance (NTNU </w:t>
            </w:r>
            <w:r w:rsidR="00A02283" w:rsidRPr="00B6443F">
              <w:rPr>
                <w:rFonts w:asciiTheme="minorHAnsi" w:hAnsiTheme="minorHAnsi" w:cstheme="minorHAnsi"/>
                <w:sz w:val="18"/>
                <w:szCs w:val="18"/>
              </w:rPr>
              <w:t>pay</w:t>
            </w:r>
            <w:r w:rsidRPr="00B6443F">
              <w:rPr>
                <w:rFonts w:asciiTheme="minorHAnsi" w:hAnsiTheme="minorHAnsi" w:cstheme="minorHAnsi"/>
                <w:sz w:val="18"/>
                <w:szCs w:val="18"/>
              </w:rPr>
              <w:t xml:space="preserve"> policy). There are annual wage negotiations between the working parties. Managers may give feedback on staff performance at the annual appraisal interview</w:t>
            </w:r>
            <w:r w:rsidR="00BD4D91">
              <w:rPr>
                <w:rFonts w:asciiTheme="minorHAnsi" w:hAnsiTheme="minorHAnsi" w:cstheme="minorHAnsi"/>
                <w:sz w:val="18"/>
                <w:szCs w:val="18"/>
              </w:rPr>
              <w:t>;</w:t>
            </w:r>
            <w:r w:rsidRPr="00B6443F">
              <w:rPr>
                <w:rFonts w:asciiTheme="minorHAnsi" w:hAnsiTheme="minorHAnsi" w:cstheme="minorHAnsi"/>
                <w:sz w:val="18"/>
                <w:szCs w:val="18"/>
              </w:rPr>
              <w:t xml:space="preserve"> The performance may have an impact on the distribution of Department duties and facilitation of career development.  </w:t>
            </w:r>
          </w:p>
        </w:tc>
        <w:tc>
          <w:tcPr>
            <w:tcW w:w="2607" w:type="dxa"/>
            <w:shd w:val="clear" w:color="auto" w:fill="auto"/>
          </w:tcPr>
          <w:p w:rsidR="00D91289" w:rsidRPr="00D44518" w:rsidRDefault="00D91289" w:rsidP="00D91289">
            <w:pPr>
              <w:spacing w:after="0" w:line="240" w:lineRule="auto"/>
              <w:jc w:val="both"/>
              <w:rPr>
                <w:rFonts w:eastAsia="Times New Roman"/>
                <w:sz w:val="20"/>
                <w:szCs w:val="20"/>
                <w:lang w:val="nl-BE"/>
              </w:rPr>
            </w:pPr>
          </w:p>
        </w:tc>
      </w:tr>
      <w:tr w:rsidR="00D91289" w:rsidRPr="00D44518" w:rsidTr="00947F78">
        <w:tc>
          <w:tcPr>
            <w:tcW w:w="12950" w:type="dxa"/>
            <w:gridSpan w:val="4"/>
            <w:shd w:val="clear" w:color="auto" w:fill="D9D9D9"/>
          </w:tcPr>
          <w:p w:rsidR="00D91289" w:rsidRPr="00B6443F" w:rsidRDefault="00D91289" w:rsidP="00B6443F">
            <w:pPr>
              <w:rPr>
                <w:rFonts w:asciiTheme="minorHAnsi" w:eastAsia="Times New Roman" w:hAnsiTheme="minorHAnsi" w:cstheme="minorHAnsi"/>
                <w:sz w:val="18"/>
                <w:szCs w:val="18"/>
              </w:rPr>
            </w:pPr>
            <w:r w:rsidRPr="00B6443F">
              <w:rPr>
                <w:rFonts w:asciiTheme="minorHAnsi" w:eastAsia="Times New Roman" w:hAnsiTheme="minorHAnsi" w:cstheme="minorHAnsi"/>
                <w:b/>
                <w:sz w:val="18"/>
                <w:szCs w:val="18"/>
              </w:rPr>
              <w:t>Recruitment and Selection</w:t>
            </w:r>
            <w:r w:rsidRPr="00B6443F">
              <w:rPr>
                <w:rFonts w:asciiTheme="minorHAnsi" w:eastAsia="Times New Roman" w:hAnsiTheme="minorHAnsi" w:cstheme="minorHAnsi"/>
                <w:sz w:val="18"/>
                <w:szCs w:val="18"/>
              </w:rPr>
              <w:t xml:space="preserve"> </w:t>
            </w: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12. Recruitment</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See the subsequent principles from the Code of Conduct.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13. Recruitment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NTNU practises open, transparent, merit-based recruitment (OTM-R). </w:t>
            </w:r>
            <w:r w:rsidR="000C27A5" w:rsidRPr="00B6443F">
              <w:rPr>
                <w:rFonts w:asciiTheme="minorHAnsi" w:hAnsiTheme="minorHAnsi" w:cstheme="minorHAnsi"/>
                <w:sz w:val="18"/>
                <w:szCs w:val="18"/>
              </w:rPr>
              <w:t>T</w:t>
            </w:r>
            <w:r w:rsidRPr="00B6443F">
              <w:rPr>
                <w:rFonts w:asciiTheme="minorHAnsi" w:hAnsiTheme="minorHAnsi" w:cstheme="minorHAnsi"/>
                <w:sz w:val="18"/>
                <w:szCs w:val="18"/>
              </w:rPr>
              <w:t xml:space="preserve">his is regulated in </w:t>
            </w:r>
            <w:hyperlink r:id="rId29" w:history="1">
              <w:r w:rsidRPr="00B6443F">
                <w:rPr>
                  <w:rStyle w:val="Hyperkobling"/>
                  <w:rFonts w:asciiTheme="minorHAnsi" w:hAnsiTheme="minorHAnsi" w:cstheme="minorHAnsi"/>
                  <w:sz w:val="18"/>
                  <w:szCs w:val="18"/>
                </w:rPr>
                <w:t>NTNUs HR Policy</w:t>
              </w:r>
            </w:hyperlink>
            <w:r w:rsidRPr="00B6443F">
              <w:rPr>
                <w:rFonts w:asciiTheme="minorHAnsi" w:hAnsiTheme="minorHAnsi" w:cstheme="minorHAnsi"/>
                <w:sz w:val="18"/>
                <w:szCs w:val="18"/>
              </w:rPr>
              <w:t xml:space="preserve"> and procedures for the recruitment of academic staff (</w:t>
            </w:r>
            <w:hyperlink r:id="rId30" w:history="1">
              <w:r w:rsidRPr="00B6443F">
                <w:rPr>
                  <w:rStyle w:val="Hyperkobling"/>
                  <w:rFonts w:asciiTheme="minorHAnsi" w:hAnsiTheme="minorHAnsi" w:cstheme="minorHAnsi"/>
                  <w:sz w:val="18"/>
                  <w:szCs w:val="18"/>
                </w:rPr>
                <w:t>Staff Regulations for Academic Positions</w:t>
              </w:r>
            </w:hyperlink>
            <w:r w:rsidRPr="00B6443F">
              <w:rPr>
                <w:rFonts w:asciiTheme="minorHAnsi" w:hAnsiTheme="minorHAnsi" w:cstheme="minorHAnsi"/>
                <w:sz w:val="18"/>
                <w:szCs w:val="18"/>
              </w:rPr>
              <w: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lastRenderedPageBreak/>
              <w:t>14. Selection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426432">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The selection process is defined in the Staff Regulations for Academic </w:t>
            </w:r>
            <w:r w:rsidR="00861467" w:rsidRPr="00B6443F">
              <w:rPr>
                <w:rFonts w:asciiTheme="minorHAnsi" w:hAnsiTheme="minorHAnsi" w:cstheme="minorHAnsi"/>
                <w:sz w:val="18"/>
                <w:szCs w:val="18"/>
              </w:rPr>
              <w:t>Positions</w:t>
            </w:r>
            <w:r w:rsidRPr="00B6443F">
              <w:rPr>
                <w:rFonts w:asciiTheme="minorHAnsi" w:hAnsiTheme="minorHAnsi" w:cstheme="minorHAnsi"/>
                <w:sz w:val="18"/>
                <w:szCs w:val="18"/>
              </w:rPr>
              <w:t>. Academic qualifications are assessed by an expert committee</w:t>
            </w:r>
            <w:r w:rsidR="00861467" w:rsidRPr="00B6443F">
              <w:rPr>
                <w:rFonts w:asciiTheme="minorHAnsi" w:hAnsiTheme="minorHAnsi" w:cstheme="minorHAnsi"/>
                <w:sz w:val="18"/>
                <w:szCs w:val="18"/>
              </w:rPr>
              <w:t xml:space="preserve"> </w:t>
            </w:r>
            <w:r w:rsidR="00426432">
              <w:rPr>
                <w:rFonts w:asciiTheme="minorHAnsi" w:hAnsiTheme="minorHAnsi" w:cstheme="minorHAnsi"/>
                <w:sz w:val="18"/>
                <w:szCs w:val="18"/>
              </w:rPr>
              <w:t>of</w:t>
            </w:r>
            <w:r w:rsidR="00861467" w:rsidRPr="00B6443F">
              <w:rPr>
                <w:rFonts w:asciiTheme="minorHAnsi" w:hAnsiTheme="minorHAnsi" w:cstheme="minorHAnsi"/>
                <w:sz w:val="18"/>
                <w:szCs w:val="18"/>
              </w:rPr>
              <w:t xml:space="preserve"> three members</w:t>
            </w:r>
            <w:r w:rsidR="00426432">
              <w:rPr>
                <w:rFonts w:asciiTheme="minorHAnsi" w:hAnsiTheme="minorHAnsi" w:cstheme="minorHAnsi"/>
                <w:sz w:val="18"/>
                <w:szCs w:val="18"/>
              </w:rPr>
              <w:t xml:space="preserve"> (</w:t>
            </w:r>
            <w:r w:rsidR="00861467" w:rsidRPr="00B6443F">
              <w:rPr>
                <w:rFonts w:asciiTheme="minorHAnsi" w:hAnsiTheme="minorHAnsi" w:cstheme="minorHAnsi"/>
                <w:sz w:val="18"/>
                <w:szCs w:val="18"/>
              </w:rPr>
              <w:t xml:space="preserve">both gender and two </w:t>
            </w:r>
            <w:r w:rsidRPr="00B6443F">
              <w:rPr>
                <w:rFonts w:asciiTheme="minorHAnsi" w:hAnsiTheme="minorHAnsi" w:cstheme="minorHAnsi"/>
                <w:sz w:val="18"/>
                <w:szCs w:val="18"/>
              </w:rPr>
              <w:t>externals</w:t>
            </w:r>
            <w:r w:rsidR="00426432">
              <w:rPr>
                <w:rFonts w:asciiTheme="minorHAnsi" w:hAnsiTheme="minorHAnsi" w:cstheme="minorHAnsi"/>
                <w:sz w:val="18"/>
                <w:szCs w:val="18"/>
              </w:rPr>
              <w:t>)</w:t>
            </w:r>
            <w:r w:rsidRPr="00B6443F">
              <w:rPr>
                <w:rFonts w:asciiTheme="minorHAnsi" w:hAnsiTheme="minorHAnsi" w:cstheme="minorHAnsi"/>
                <w:sz w:val="18"/>
                <w:szCs w:val="18"/>
              </w:rPr>
              <w:t xml:space="preserve">. The teaching skills committee shall also have three members </w:t>
            </w:r>
            <w:r w:rsidR="00426432">
              <w:rPr>
                <w:rFonts w:asciiTheme="minorHAnsi" w:hAnsiTheme="minorHAnsi" w:cstheme="minorHAnsi"/>
                <w:sz w:val="18"/>
                <w:szCs w:val="18"/>
              </w:rPr>
              <w:t>(</w:t>
            </w:r>
            <w:r w:rsidRPr="00B6443F">
              <w:rPr>
                <w:rFonts w:asciiTheme="minorHAnsi" w:hAnsiTheme="minorHAnsi" w:cstheme="minorHAnsi"/>
                <w:sz w:val="18"/>
                <w:szCs w:val="18"/>
              </w:rPr>
              <w:t xml:space="preserve">both gender </w:t>
            </w:r>
            <w:r w:rsidR="00426432">
              <w:rPr>
                <w:rFonts w:asciiTheme="minorHAnsi" w:hAnsiTheme="minorHAnsi" w:cstheme="minorHAnsi"/>
                <w:sz w:val="18"/>
                <w:szCs w:val="18"/>
              </w:rPr>
              <w:t>and</w:t>
            </w:r>
            <w:r w:rsidRPr="00B6443F">
              <w:rPr>
                <w:rFonts w:asciiTheme="minorHAnsi" w:hAnsiTheme="minorHAnsi" w:cstheme="minorHAnsi"/>
                <w:sz w:val="18"/>
                <w:szCs w:val="18"/>
              </w:rPr>
              <w:t xml:space="preserve"> a student</w:t>
            </w:r>
            <w:r w:rsidR="00426432">
              <w:rPr>
                <w:rFonts w:asciiTheme="minorHAnsi" w:hAnsiTheme="minorHAnsi" w:cstheme="minorHAnsi"/>
                <w:sz w:val="18"/>
                <w:szCs w:val="18"/>
              </w:rPr>
              <w:t>)</w:t>
            </w:r>
            <w:r w:rsidRPr="00B6443F">
              <w:rPr>
                <w:rFonts w:asciiTheme="minorHAnsi" w:hAnsiTheme="minorHAnsi" w:cstheme="minorHAnsi"/>
                <w:sz w:val="18"/>
                <w:szCs w:val="18"/>
              </w:rPr>
              <w:t>. Interviews are conducted on site or</w:t>
            </w:r>
            <w:r w:rsidR="00426432">
              <w:rPr>
                <w:rFonts w:asciiTheme="minorHAnsi" w:hAnsiTheme="minorHAnsi" w:cstheme="minorHAnsi"/>
                <w:sz w:val="18"/>
                <w:szCs w:val="18"/>
              </w:rPr>
              <w:t xml:space="preserve"> </w:t>
            </w:r>
            <w:r w:rsidRPr="00B6443F">
              <w:rPr>
                <w:rFonts w:asciiTheme="minorHAnsi" w:hAnsiTheme="minorHAnsi" w:cstheme="minorHAnsi"/>
                <w:sz w:val="18"/>
                <w:szCs w:val="18"/>
              </w:rPr>
              <w:t>videoconference. Simplified procedures are applied for recruitment positions (PhD, Postdoc).</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15. Transparency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hAnsiTheme="minorHAnsi" w:cstheme="minorHAnsi"/>
                <w:sz w:val="18"/>
                <w:szCs w:val="18"/>
              </w:rPr>
            </w:pPr>
            <w:r w:rsidRPr="00B6443F">
              <w:rPr>
                <w:rFonts w:asciiTheme="minorHAnsi" w:hAnsiTheme="minorHAnsi" w:cstheme="minorHAnsi"/>
                <w:sz w:val="18"/>
                <w:szCs w:val="18"/>
              </w:rPr>
              <w:t xml:space="preserve">Qualifications requirements are listed and the recruitment process briefly described in the job announcement. Applicants who are selected for peer assessment, receive the academic assessment reports from the expert committee and teaching committee. </w:t>
            </w:r>
          </w:p>
          <w:p w:rsidR="004D1C24" w:rsidRPr="00B6443F" w:rsidRDefault="004D1C24" w:rsidP="00B6443F">
            <w:pPr>
              <w:rPr>
                <w:rFonts w:asciiTheme="minorHAnsi" w:eastAsia="Times New Roman" w:hAnsiTheme="minorHAnsi" w:cstheme="minorHAnsi"/>
                <w:sz w:val="18"/>
                <w:szCs w:val="18"/>
                <w:lang w:val="nl-BE"/>
              </w:rPr>
            </w:pPr>
          </w:p>
        </w:tc>
        <w:tc>
          <w:tcPr>
            <w:tcW w:w="2607" w:type="dxa"/>
            <w:shd w:val="clear" w:color="auto" w:fill="auto"/>
          </w:tcPr>
          <w:p w:rsidR="004D1C24" w:rsidRPr="00D44518" w:rsidRDefault="004D1C24" w:rsidP="004D1C24">
            <w:pPr>
              <w:spacing w:after="0" w:line="240" w:lineRule="auto"/>
              <w:rPr>
                <w:rFonts w:eastAsia="Times New Roman"/>
                <w:sz w:val="20"/>
                <w:szCs w:val="20"/>
                <w:lang w:val="nl-BE"/>
              </w:rPr>
            </w:pPr>
            <w:r w:rsidRPr="004D1C24">
              <w:rPr>
                <w:sz w:val="18"/>
              </w:rPr>
              <w:t xml:space="preserve">With respect to the total assessment and final appointment decision, national legislation does not permit insight into the reasons behind the </w:t>
            </w:r>
            <w:r w:rsidR="00861467">
              <w:rPr>
                <w:sz w:val="18"/>
              </w:rPr>
              <w:t xml:space="preserve">final </w:t>
            </w:r>
            <w:r w:rsidRPr="004D1C24">
              <w:rPr>
                <w:sz w:val="18"/>
              </w:rPr>
              <w:t>hiring decision and does not open for complaints on the decision (Public Administration Act).</w:t>
            </w: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16. Judging merit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NTNU Regulations for Academic Positions stipulates that in the total assessment, the expert assessment shall be emphasized, but the assessment of teaching skills, interview, and reference checks may provide basis for changing the ranking or not nominating an applicant.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rPr>
            </w:pPr>
            <w:r w:rsidRPr="00D44518">
              <w:rPr>
                <w:rFonts w:eastAsia="Times New Roman"/>
                <w:sz w:val="20"/>
                <w:szCs w:val="20"/>
              </w:rPr>
              <w:t>17. Variations in the chronological order of CVs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hAnsiTheme="minorHAnsi" w:cstheme="minorHAnsi"/>
                <w:sz w:val="18"/>
                <w:szCs w:val="18"/>
              </w:rPr>
            </w:pPr>
            <w:r w:rsidRPr="00B6443F">
              <w:rPr>
                <w:rFonts w:asciiTheme="minorHAnsi" w:hAnsiTheme="minorHAnsi" w:cstheme="minorHAnsi"/>
                <w:sz w:val="18"/>
                <w:szCs w:val="18"/>
              </w:rPr>
              <w:t>All relevant qualifications are taken into account in the total assessment.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rPr>
            </w:pPr>
            <w:r w:rsidRPr="00D44518">
              <w:rPr>
                <w:rFonts w:eastAsia="Times New Roman"/>
                <w:sz w:val="20"/>
                <w:szCs w:val="20"/>
              </w:rPr>
              <w:t>18. Recognition of mobility experience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rPr>
            </w:pPr>
            <w:r w:rsidRPr="00B6443F">
              <w:rPr>
                <w:rFonts w:asciiTheme="minorHAnsi" w:hAnsiTheme="minorHAnsi" w:cstheme="minorHAnsi"/>
                <w:sz w:val="18"/>
                <w:szCs w:val="18"/>
              </w:rPr>
              <w:t>Mobility experience is appreciated in the total assessment.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rPr>
            </w:pPr>
          </w:p>
        </w:tc>
      </w:tr>
      <w:tr w:rsidR="004D1C24" w:rsidRPr="00D44518" w:rsidTr="0005401C">
        <w:tc>
          <w:tcPr>
            <w:tcW w:w="2882" w:type="dxa"/>
            <w:shd w:val="clear" w:color="auto" w:fill="auto"/>
          </w:tcPr>
          <w:p w:rsidR="004D1C24" w:rsidRPr="00D44518" w:rsidRDefault="004D1C24" w:rsidP="004D1C24">
            <w:pPr>
              <w:spacing w:after="0" w:line="240" w:lineRule="auto"/>
              <w:rPr>
                <w:rFonts w:eastAsia="Times New Roman"/>
                <w:sz w:val="20"/>
                <w:szCs w:val="20"/>
                <w:lang w:val="nl-BE"/>
              </w:rPr>
            </w:pPr>
            <w:r w:rsidRPr="00D44518">
              <w:rPr>
                <w:rFonts w:eastAsia="Times New Roman"/>
                <w:sz w:val="20"/>
                <w:szCs w:val="20"/>
                <w:lang w:val="nl-BE"/>
              </w:rPr>
              <w:t>19. Recognition of qualifications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Non-formal qualifications cannot replace formal qualifications, but is perceived as positive in many academic positions. Adjunct professors are typically recruited from industry a</w:t>
            </w:r>
            <w:r w:rsidR="00CE69C3" w:rsidRPr="00B6443F">
              <w:rPr>
                <w:rFonts w:asciiTheme="minorHAnsi" w:hAnsiTheme="minorHAnsi" w:cstheme="minorHAnsi"/>
                <w:sz w:val="18"/>
                <w:szCs w:val="18"/>
              </w:rPr>
              <w:t xml:space="preserve">nd the health sector. NTNU is the Norwegian university with the most PhDs from industry co-funded through the </w:t>
            </w:r>
            <w:r w:rsidRPr="00B6443F">
              <w:rPr>
                <w:rFonts w:asciiTheme="minorHAnsi" w:hAnsiTheme="minorHAnsi" w:cstheme="minorHAnsi"/>
                <w:sz w:val="18"/>
                <w:szCs w:val="18"/>
              </w:rPr>
              <w:t xml:space="preserve">national funding scheme for </w:t>
            </w:r>
            <w:r w:rsidR="00CE69C3" w:rsidRPr="00B6443F">
              <w:rPr>
                <w:rFonts w:asciiTheme="minorHAnsi" w:hAnsiTheme="minorHAnsi" w:cstheme="minorHAnsi"/>
                <w:sz w:val="18"/>
                <w:szCs w:val="18"/>
              </w:rPr>
              <w:t>I</w:t>
            </w:r>
            <w:r w:rsidRPr="00B6443F">
              <w:rPr>
                <w:rFonts w:asciiTheme="minorHAnsi" w:hAnsiTheme="minorHAnsi" w:cstheme="minorHAnsi"/>
                <w:sz w:val="18"/>
                <w:szCs w:val="18"/>
              </w:rPr>
              <w:t>ndustrial PhDs.</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20. Seniority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NTNU has a flexible approach to experience and age. PhD fellowships are normally granted to younger researchers, but may also be granted to more mature candidates typically with a background from a university college/research institute, industry or other work places.</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rPr>
                <w:rFonts w:eastAsia="Times New Roman"/>
                <w:sz w:val="20"/>
                <w:szCs w:val="20"/>
                <w:lang w:val="nl-BE"/>
              </w:rPr>
            </w:pPr>
            <w:r w:rsidRPr="00D44518">
              <w:rPr>
                <w:rFonts w:eastAsia="Times New Roman"/>
                <w:sz w:val="20"/>
                <w:szCs w:val="20"/>
                <w:lang w:val="nl-BE"/>
              </w:rPr>
              <w:t>21. Postdoctoral appointments (Code)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The title and qualifications requirement for postdocs are regulated in </w:t>
            </w:r>
            <w:hyperlink r:id="rId31" w:history="1">
              <w:r w:rsidRPr="00B6443F">
                <w:rPr>
                  <w:rStyle w:val="Hyperkobling"/>
                  <w:rFonts w:asciiTheme="minorHAnsi" w:hAnsiTheme="minorHAnsi" w:cstheme="minorHAnsi"/>
                  <w:sz w:val="18"/>
                  <w:szCs w:val="18"/>
                </w:rPr>
                <w:t>National regulations concerning terms and conditions of employment for post-doctoral research fellow, research fellow and research assistant</w:t>
              </w:r>
              <w:r w:rsidR="00012F75" w:rsidRPr="00B6443F">
                <w:rPr>
                  <w:rStyle w:val="Hyperkobling"/>
                  <w:rFonts w:asciiTheme="minorHAnsi" w:hAnsiTheme="minorHAnsi" w:cstheme="minorHAnsi"/>
                  <w:sz w:val="18"/>
                  <w:szCs w:val="18"/>
                </w:rPr>
                <w:t>)</w:t>
              </w:r>
            </w:hyperlink>
            <w:r w:rsidRPr="00B6443F">
              <w:rPr>
                <w:rFonts w:asciiTheme="minorHAnsi" w:hAnsiTheme="minorHAnsi" w:cstheme="minorHAnsi"/>
                <w:sz w:val="18"/>
                <w:szCs w:val="18"/>
              </w:rPr>
              <w:t xml:space="preserve"> and NTNU Pay Policy (</w:t>
            </w:r>
            <w:proofErr w:type="spellStart"/>
            <w:r w:rsidRPr="00B6443F">
              <w:rPr>
                <w:rFonts w:asciiTheme="minorHAnsi" w:hAnsiTheme="minorHAnsi" w:cstheme="minorHAnsi"/>
                <w:sz w:val="18"/>
                <w:szCs w:val="18"/>
              </w:rPr>
              <w:fldChar w:fldCharType="begin"/>
            </w:r>
            <w:r w:rsidRPr="00B6443F">
              <w:rPr>
                <w:rFonts w:asciiTheme="minorHAnsi" w:hAnsiTheme="minorHAnsi" w:cstheme="minorHAnsi"/>
                <w:sz w:val="18"/>
                <w:szCs w:val="18"/>
              </w:rPr>
              <w:instrText xml:space="preserve"> HYPERLINK "https://innsida.ntnu.no/wiki/-/wiki/Norsk/L%C3%B8nnspolitikk" </w:instrText>
            </w:r>
            <w:r w:rsidRPr="00B6443F">
              <w:rPr>
                <w:rFonts w:asciiTheme="minorHAnsi" w:hAnsiTheme="minorHAnsi" w:cstheme="minorHAnsi"/>
                <w:sz w:val="18"/>
                <w:szCs w:val="18"/>
              </w:rPr>
              <w:fldChar w:fldCharType="separate"/>
            </w:r>
            <w:r w:rsidRPr="00B6443F">
              <w:rPr>
                <w:rStyle w:val="Hyperkobling"/>
                <w:rFonts w:asciiTheme="minorHAnsi" w:hAnsiTheme="minorHAnsi" w:cstheme="minorHAnsi"/>
                <w:sz w:val="18"/>
                <w:szCs w:val="18"/>
              </w:rPr>
              <w:t>Lønnspolitikk</w:t>
            </w:r>
            <w:proofErr w:type="spellEnd"/>
            <w:r w:rsidRPr="00B6443F">
              <w:rPr>
                <w:rFonts w:asciiTheme="minorHAnsi" w:hAnsiTheme="minorHAnsi" w:cstheme="minorHAnsi"/>
                <w:sz w:val="18"/>
                <w:szCs w:val="18"/>
              </w:rPr>
              <w:fldChar w:fldCharType="end"/>
            </w:r>
            <w:r w:rsidRPr="00B6443F">
              <w:rPr>
                <w:rFonts w:asciiTheme="minorHAnsi" w:hAnsiTheme="minorHAnsi" w:cstheme="minorHAnsi"/>
                <w:sz w:val="18"/>
                <w:szCs w:val="18"/>
              </w:rPr>
              <w:t xml:space="preserve">). At NTNU, most postdocs have 2 year fixed term positions, but NTNU is also permitted to offer 3 to 4 year positions with duty work. It is not allowed to have more than one postdoc position at the same institution. NTNU </w:t>
            </w:r>
            <w:r w:rsidR="00A02283" w:rsidRPr="00B6443F">
              <w:rPr>
                <w:rFonts w:asciiTheme="minorHAnsi" w:hAnsiTheme="minorHAnsi" w:cstheme="minorHAnsi"/>
                <w:sz w:val="18"/>
                <w:szCs w:val="18"/>
              </w:rPr>
              <w:t>is looking into how the university may improve</w:t>
            </w:r>
            <w:r w:rsidRPr="00B6443F">
              <w:rPr>
                <w:rFonts w:asciiTheme="minorHAnsi" w:hAnsiTheme="minorHAnsi" w:cstheme="minorHAnsi"/>
                <w:sz w:val="18"/>
                <w:szCs w:val="18"/>
              </w:rPr>
              <w:t xml:space="preserve"> the </w:t>
            </w:r>
            <w:hyperlink r:id="rId32" w:history="1">
              <w:r w:rsidRPr="00B6443F">
                <w:rPr>
                  <w:rStyle w:val="Hyperkobling"/>
                  <w:rFonts w:asciiTheme="minorHAnsi" w:hAnsiTheme="minorHAnsi" w:cstheme="minorHAnsi"/>
                  <w:sz w:val="18"/>
                  <w:szCs w:val="18"/>
                </w:rPr>
                <w:t>career development and career support for Postdocs</w:t>
              </w:r>
            </w:hyperlink>
            <w:r w:rsidRPr="00B6443F">
              <w:rPr>
                <w:rFonts w:asciiTheme="minorHAnsi" w:hAnsiTheme="minorHAnsi" w:cstheme="minorHAnsi"/>
                <w:sz w:val="18"/>
                <w:szCs w:val="18"/>
              </w:rPr>
              <w: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947F78">
        <w:tc>
          <w:tcPr>
            <w:tcW w:w="12950" w:type="dxa"/>
            <w:gridSpan w:val="4"/>
            <w:shd w:val="clear" w:color="auto" w:fill="D9D9D9"/>
          </w:tcPr>
          <w:p w:rsidR="004D1C24" w:rsidRPr="00B6443F" w:rsidRDefault="004D1C24" w:rsidP="00B6443F">
            <w:pPr>
              <w:rPr>
                <w:rFonts w:asciiTheme="minorHAnsi" w:eastAsia="Times New Roman" w:hAnsiTheme="minorHAnsi" w:cstheme="minorHAnsi"/>
                <w:b/>
                <w:sz w:val="18"/>
                <w:szCs w:val="18"/>
              </w:rPr>
            </w:pPr>
            <w:r w:rsidRPr="00B6443F">
              <w:rPr>
                <w:rFonts w:asciiTheme="minorHAnsi" w:eastAsia="Times New Roman" w:hAnsiTheme="minorHAnsi" w:cstheme="minorHAnsi"/>
                <w:b/>
                <w:sz w:val="18"/>
                <w:szCs w:val="18"/>
              </w:rPr>
              <w:t>Working Conditions and Social Security</w:t>
            </w: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22. Recognition of the profession</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Early stage researchers are recognized as professionals: candidates with a Master’s degree may obtain academic posts and be admitted to doctoral education provided that the candidate has sufficient funding.</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23. Research environment</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NTNU works systematically with </w:t>
            </w:r>
            <w:hyperlink r:id="rId33" w:history="1">
              <w:r w:rsidRPr="00B6443F">
                <w:rPr>
                  <w:rStyle w:val="Hyperkobling"/>
                  <w:rFonts w:asciiTheme="minorHAnsi" w:hAnsiTheme="minorHAnsi" w:cstheme="minorHAnsi"/>
                  <w:sz w:val="18"/>
                  <w:szCs w:val="18"/>
                </w:rPr>
                <w:t>Health, Safety and Environment</w:t>
              </w:r>
            </w:hyperlink>
            <w:r w:rsidRPr="00B6443F">
              <w:rPr>
                <w:rFonts w:asciiTheme="minorHAnsi" w:hAnsiTheme="minorHAnsi" w:cstheme="minorHAnsi"/>
                <w:sz w:val="18"/>
                <w:szCs w:val="18"/>
              </w:rPr>
              <w:t xml:space="preserve">. </w:t>
            </w:r>
            <w:r w:rsidRPr="00B6443F">
              <w:rPr>
                <w:rFonts w:asciiTheme="minorHAnsi" w:hAnsiTheme="minorHAnsi" w:cstheme="minorHAnsi"/>
                <w:sz w:val="18"/>
                <w:szCs w:val="18"/>
              </w:rPr>
              <w:br/>
              <w:t xml:space="preserve">NTNU has a good basic infrastructure for researchers in terms of office space, laboratories, working capital, software and library resources. Integration in national and international research networks is encouraged and facilitated. The university has several </w:t>
            </w:r>
            <w:hyperlink r:id="rId34" w:history="1">
              <w:r w:rsidRPr="00B6443F">
                <w:rPr>
                  <w:rStyle w:val="Hyperkobling"/>
                  <w:rFonts w:asciiTheme="minorHAnsi" w:hAnsiTheme="minorHAnsi" w:cstheme="minorHAnsi"/>
                  <w:sz w:val="18"/>
                  <w:szCs w:val="18"/>
                </w:rPr>
                <w:t>internationally outstanding research groups</w:t>
              </w:r>
            </w:hyperlink>
            <w:r w:rsidR="002613EB" w:rsidRPr="00B6443F">
              <w:rPr>
                <w:rStyle w:val="Hyperkobling"/>
                <w:rFonts w:asciiTheme="minorHAnsi" w:hAnsiTheme="minorHAnsi" w:cstheme="minorHAnsi"/>
                <w:sz w:val="18"/>
                <w:szCs w:val="18"/>
              </w:rPr>
              <w:t xml:space="preserve"> and laboratories</w:t>
            </w:r>
            <w:r w:rsidRPr="00B6443F">
              <w:rPr>
                <w:rFonts w:asciiTheme="minorHAnsi" w:hAnsiTheme="minorHAnsi" w:cstheme="minorHAnsi"/>
                <w:sz w:val="18"/>
                <w:szCs w:val="18"/>
              </w:rPr>
              <w:t>. Research activity is largely project funded in Norway.</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24. Working conditions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In general, good and flexible </w:t>
            </w:r>
            <w:hyperlink r:id="rId35" w:history="1">
              <w:r w:rsidRPr="00B6443F">
                <w:rPr>
                  <w:rStyle w:val="Hyperkobling"/>
                  <w:rFonts w:asciiTheme="minorHAnsi" w:hAnsiTheme="minorHAnsi" w:cstheme="minorHAnsi"/>
                  <w:sz w:val="18"/>
                  <w:szCs w:val="18"/>
                </w:rPr>
                <w:t>working conditions</w:t>
              </w:r>
            </w:hyperlink>
            <w:r w:rsidRPr="00B6443F">
              <w:rPr>
                <w:rFonts w:asciiTheme="minorHAnsi" w:hAnsiTheme="minorHAnsi" w:cstheme="minorHAnsi"/>
                <w:sz w:val="18"/>
                <w:szCs w:val="18"/>
              </w:rPr>
              <w:t xml:space="preserve"> in Norway including adjustments for handicapped, </w:t>
            </w:r>
            <w:hyperlink r:id="rId36" w:history="1">
              <w:r w:rsidRPr="00B6443F">
                <w:rPr>
                  <w:rStyle w:val="Hyperkobling"/>
                  <w:rFonts w:asciiTheme="minorHAnsi" w:hAnsiTheme="minorHAnsi" w:cstheme="minorHAnsi"/>
                  <w:sz w:val="18"/>
                  <w:szCs w:val="18"/>
                </w:rPr>
                <w:t>leave of absence</w:t>
              </w:r>
            </w:hyperlink>
            <w:r w:rsidRPr="00B6443F">
              <w:rPr>
                <w:rFonts w:asciiTheme="minorHAnsi" w:hAnsiTheme="minorHAnsi" w:cstheme="minorHAnsi"/>
                <w:sz w:val="18"/>
                <w:szCs w:val="18"/>
              </w:rPr>
              <w:t xml:space="preserve">, and opportunity for </w:t>
            </w:r>
            <w:r w:rsidRPr="00B6443F">
              <w:rPr>
                <w:rFonts w:asciiTheme="minorHAnsi" w:hAnsiTheme="minorHAnsi" w:cstheme="minorHAnsi"/>
                <w:sz w:val="18"/>
                <w:szCs w:val="18"/>
              </w:rPr>
              <w:lastRenderedPageBreak/>
              <w:t xml:space="preserve">reduced working hours adapted to circumstances of life. All employees are entitled to have a </w:t>
            </w:r>
            <w:hyperlink r:id="rId37" w:history="1">
              <w:r w:rsidRPr="00B6443F">
                <w:rPr>
                  <w:rStyle w:val="Hyperkobling"/>
                  <w:rFonts w:asciiTheme="minorHAnsi" w:hAnsiTheme="minorHAnsi" w:cstheme="minorHAnsi"/>
                  <w:sz w:val="18"/>
                  <w:szCs w:val="18"/>
                </w:rPr>
                <w:t>performance appraisal</w:t>
              </w:r>
            </w:hyperlink>
            <w:r w:rsidRPr="00B6443F">
              <w:rPr>
                <w:rFonts w:asciiTheme="minorHAnsi" w:hAnsiTheme="minorHAnsi" w:cstheme="minorHAnsi"/>
                <w:sz w:val="18"/>
                <w:szCs w:val="18"/>
              </w:rPr>
              <w:t xml:space="preserve"> and discuss salary and working conditions with </w:t>
            </w:r>
            <w:r w:rsidR="0048527C" w:rsidRPr="00B6443F">
              <w:rPr>
                <w:rFonts w:asciiTheme="minorHAnsi" w:hAnsiTheme="minorHAnsi" w:cstheme="minorHAnsi"/>
                <w:sz w:val="18"/>
                <w:szCs w:val="18"/>
              </w:rPr>
              <w:t xml:space="preserve">the </w:t>
            </w:r>
            <w:r w:rsidRPr="00B6443F">
              <w:rPr>
                <w:rFonts w:asciiTheme="minorHAnsi" w:hAnsiTheme="minorHAnsi" w:cstheme="minorHAnsi"/>
                <w:sz w:val="18"/>
                <w:szCs w:val="18"/>
              </w:rPr>
              <w:t xml:space="preserve">employer. </w:t>
            </w:r>
            <w:hyperlink r:id="rId38" w:history="1">
              <w:r w:rsidRPr="00B6443F">
                <w:rPr>
                  <w:rStyle w:val="Hyperkobling"/>
                  <w:rFonts w:asciiTheme="minorHAnsi" w:hAnsiTheme="minorHAnsi" w:cstheme="minorHAnsi"/>
                  <w:sz w:val="18"/>
                  <w:szCs w:val="18"/>
                </w:rPr>
                <w:t>Internet solutions</w:t>
              </w:r>
            </w:hyperlink>
            <w:r w:rsidRPr="00B6443F">
              <w:rPr>
                <w:rFonts w:asciiTheme="minorHAnsi" w:hAnsiTheme="minorHAnsi" w:cstheme="minorHAnsi"/>
                <w:sz w:val="18"/>
                <w:szCs w:val="18"/>
              </w:rPr>
              <w:t xml:space="preserve"> facilitate remote research work and collaboration. </w:t>
            </w:r>
            <w:r w:rsidRPr="00B6443F">
              <w:rPr>
                <w:rFonts w:asciiTheme="minorHAnsi" w:hAnsiTheme="minorHAnsi" w:cstheme="minorHAnsi"/>
                <w:sz w:val="18"/>
                <w:szCs w:val="18"/>
              </w:rPr>
              <w:br/>
            </w:r>
            <w:hyperlink r:id="rId39" w:history="1">
              <w:r w:rsidRPr="00B6443F">
                <w:rPr>
                  <w:rStyle w:val="Hyperkobling"/>
                  <w:rFonts w:asciiTheme="minorHAnsi" w:hAnsiTheme="minorHAnsi" w:cstheme="minorHAnsi"/>
                  <w:sz w:val="18"/>
                  <w:szCs w:val="18"/>
                </w:rPr>
                <w:t>NTNU International Researcher Support</w:t>
              </w:r>
            </w:hyperlink>
            <w:r w:rsidRPr="00B6443F">
              <w:rPr>
                <w:rFonts w:asciiTheme="minorHAnsi" w:hAnsiTheme="minorHAnsi" w:cstheme="minorHAnsi"/>
                <w:sz w:val="18"/>
                <w:szCs w:val="18"/>
              </w:rPr>
              <w:t xml:space="preserve"> provides information on mobility matters for outgoing and incoming researcher. International mobility is encouraged for PhDs and Postdocs. Associate and full professors </w:t>
            </w:r>
            <w:r w:rsidR="0048527C" w:rsidRPr="00B6443F">
              <w:rPr>
                <w:rFonts w:asciiTheme="minorHAnsi" w:hAnsiTheme="minorHAnsi" w:cstheme="minorHAnsi"/>
                <w:sz w:val="18"/>
                <w:szCs w:val="18"/>
              </w:rPr>
              <w:t xml:space="preserve">are entitled to apply for a </w:t>
            </w:r>
            <w:hyperlink r:id="rId40" w:history="1">
              <w:r w:rsidRPr="00B6443F">
                <w:rPr>
                  <w:rStyle w:val="Hyperkobling"/>
                  <w:rFonts w:asciiTheme="minorHAnsi" w:hAnsiTheme="minorHAnsi" w:cstheme="minorHAnsi"/>
                  <w:sz w:val="18"/>
                  <w:szCs w:val="18"/>
                </w:rPr>
                <w:t>sabbatical leave</w:t>
              </w:r>
            </w:hyperlink>
            <w:r w:rsidRPr="00B6443F">
              <w:rPr>
                <w:rFonts w:asciiTheme="minorHAnsi" w:hAnsiTheme="minorHAnsi" w:cstheme="minorHAnsi"/>
                <w:sz w:val="18"/>
                <w:szCs w:val="18"/>
              </w:rPr>
              <w:t xml:space="preserve"> </w:t>
            </w:r>
            <w:r w:rsidR="0048527C" w:rsidRPr="00B6443F">
              <w:rPr>
                <w:rFonts w:asciiTheme="minorHAnsi" w:hAnsiTheme="minorHAnsi" w:cstheme="minorHAnsi"/>
                <w:sz w:val="18"/>
                <w:szCs w:val="18"/>
              </w:rPr>
              <w:t>of one year after four years of service</w:t>
            </w:r>
            <w:r w:rsidRPr="00B6443F">
              <w:rPr>
                <w:rFonts w:asciiTheme="minorHAnsi" w:hAnsiTheme="minorHAnsi" w:cstheme="minorHAnsi"/>
                <w:sz w:val="18"/>
                <w:szCs w:val="18"/>
              </w:rPr>
              <w:t>.</w:t>
            </w:r>
            <w:r w:rsidR="0048527C" w:rsidRPr="00B6443F">
              <w:rPr>
                <w:rFonts w:asciiTheme="minorHAnsi" w:hAnsiTheme="minorHAnsi" w:cstheme="minorHAnsi"/>
                <w:sz w:val="18"/>
                <w:szCs w:val="18"/>
              </w:rPr>
              <w:t xml:space="preserve"> It is possible to have sabbatical leave every five years through the career provided you fulfil the criteria. </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rPr>
                <w:rFonts w:eastAsia="Times New Roman"/>
                <w:sz w:val="20"/>
                <w:szCs w:val="20"/>
              </w:rPr>
            </w:pPr>
            <w:r w:rsidRPr="00D44518">
              <w:rPr>
                <w:sz w:val="20"/>
                <w:szCs w:val="20"/>
              </w:rPr>
              <w:br w:type="page"/>
            </w:r>
            <w:r w:rsidRPr="00D44518">
              <w:rPr>
                <w:rFonts w:eastAsia="Times New Roman"/>
                <w:sz w:val="20"/>
                <w:szCs w:val="20"/>
              </w:rPr>
              <w:t>25. Stability and permanence of employment</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4D1C24" w:rsidP="00B6443F">
            <w:pPr>
              <w:rPr>
                <w:rFonts w:asciiTheme="minorHAnsi" w:eastAsia="Times New Roman" w:hAnsiTheme="minorHAnsi" w:cstheme="minorHAnsi"/>
                <w:sz w:val="18"/>
                <w:szCs w:val="18"/>
              </w:rPr>
            </w:pPr>
            <w:r w:rsidRPr="00B6443F">
              <w:rPr>
                <w:rFonts w:asciiTheme="minorHAnsi" w:hAnsiTheme="minorHAnsi" w:cstheme="minorHAnsi"/>
                <w:sz w:val="18"/>
                <w:szCs w:val="18"/>
              </w:rPr>
              <w:t xml:space="preserve">Norwegian legislation is in conformity with EU legislation on Fixed-Term Work. PhDs (3-4 years) and Postdocs (2-4 years) have fixed-term contracts; The longer contracts include duty work. </w:t>
            </w:r>
            <w:r w:rsidRPr="00B6443F">
              <w:rPr>
                <w:rFonts w:asciiTheme="minorHAnsi" w:hAnsiTheme="minorHAnsi" w:cstheme="minorHAnsi"/>
                <w:sz w:val="18"/>
                <w:szCs w:val="18"/>
              </w:rPr>
              <w:br/>
              <w:t xml:space="preserve">University employees are entitled to a permanent position if they carry out permanent tasks such as teaching or management. This typically applies to lecturers, professors, and Department Heads. </w:t>
            </w:r>
            <w:r w:rsidRPr="00B6443F">
              <w:rPr>
                <w:rFonts w:asciiTheme="minorHAnsi" w:hAnsiTheme="minorHAnsi" w:cstheme="minorHAnsi"/>
                <w:sz w:val="18"/>
                <w:szCs w:val="18"/>
              </w:rPr>
              <w:br/>
              <w:t xml:space="preserve">Only deputies may be temporary engaged to perform teaching work. Researchers on externally funded projects may also be temporary engaged. NTNU aims to offer permanent positions if the length of the project or volume of activity in the research area warrants it. NTNU has an increasing number of researchers on temporary and permanent contracts who are depending on further external funding for the continuation of their contract. Ensuring fair treatment, and career opportunities for these researchers requires permanent attention from Departments and HR. </w:t>
            </w:r>
          </w:p>
        </w:tc>
        <w:tc>
          <w:tcPr>
            <w:tcW w:w="2607" w:type="dxa"/>
            <w:shd w:val="clear" w:color="auto" w:fill="auto"/>
          </w:tcPr>
          <w:p w:rsidR="004D1C24" w:rsidRPr="00D44518" w:rsidRDefault="004D1C24" w:rsidP="004D1C24">
            <w:pPr>
              <w:spacing w:after="0" w:line="240" w:lineRule="auto"/>
              <w:jc w:val="both"/>
              <w:rPr>
                <w:rFonts w:eastAsia="Times New Roman"/>
                <w:sz w:val="20"/>
                <w:szCs w:val="20"/>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26. Funding and salaries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D34785"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Research fellows, researchers, and academic staff have regular salary and good social benefits as public sector employees in Norway. Most externally funded PhDs are NTNU employees. </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27. Gender balance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D34785"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Promoting a better gender balance is a priority area as can be seen from the NTNU action plan for </w:t>
            </w:r>
            <w:hyperlink r:id="rId41" w:history="1">
              <w:r w:rsidRPr="00B6443F">
                <w:rPr>
                  <w:rStyle w:val="Hyperkobling"/>
                  <w:rFonts w:asciiTheme="minorHAnsi" w:hAnsiTheme="minorHAnsi" w:cstheme="minorHAnsi"/>
                  <w:sz w:val="18"/>
                  <w:szCs w:val="18"/>
                </w:rPr>
                <w:t>gender equality and diversity</w:t>
              </w:r>
            </w:hyperlink>
            <w:r w:rsidRPr="00B6443F">
              <w:rPr>
                <w:rFonts w:asciiTheme="minorHAnsi" w:hAnsiTheme="minorHAnsi" w:cstheme="minorHAnsi"/>
                <w:sz w:val="18"/>
                <w:szCs w:val="18"/>
              </w:rPr>
              <w:t xml:space="preserve"> (2019-21) and the </w:t>
            </w:r>
            <w:hyperlink r:id="rId42" w:history="1">
              <w:r w:rsidRPr="00B6443F">
                <w:rPr>
                  <w:rStyle w:val="Hyperkobling"/>
                  <w:rFonts w:asciiTheme="minorHAnsi" w:hAnsiTheme="minorHAnsi" w:cstheme="minorHAnsi"/>
                  <w:sz w:val="18"/>
                  <w:szCs w:val="18"/>
                </w:rPr>
                <w:t>HR Policy for NTNU</w:t>
              </w:r>
            </w:hyperlink>
            <w:r w:rsidRPr="00B6443F">
              <w:rPr>
                <w:rFonts w:asciiTheme="minorHAnsi" w:hAnsiTheme="minorHAnsi" w:cstheme="minorHAnsi"/>
                <w:sz w:val="18"/>
                <w:szCs w:val="18"/>
              </w:rPr>
              <w:t xml:space="preserve"> (2007). It is a priority to find female applicants to management and academic posts, - particularly in science and technology where women are underrepresented at NTNU. Both gender shall be represented on expert assessment committees, teaching qualifications committees and appointment committees. Mentor program</w:t>
            </w:r>
            <w:r w:rsidR="00E177F1" w:rsidRPr="00B6443F">
              <w:rPr>
                <w:rFonts w:asciiTheme="minorHAnsi" w:hAnsiTheme="minorHAnsi" w:cstheme="minorHAnsi"/>
                <w:sz w:val="18"/>
                <w:szCs w:val="18"/>
              </w:rPr>
              <w:t>me</w:t>
            </w:r>
            <w:r w:rsidRPr="00B6443F">
              <w:rPr>
                <w:rFonts w:asciiTheme="minorHAnsi" w:hAnsiTheme="minorHAnsi" w:cstheme="minorHAnsi"/>
                <w:sz w:val="18"/>
                <w:szCs w:val="18"/>
              </w:rPr>
              <w:t>s, start packages and qualifications fellowships are among the tools at hand to promote the career development of female staff.</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28. Career development</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D34785" w:rsidP="00BD4D91">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All researchers are entitled to having a performance appraisal with their manager (typically Head of Research Group</w:t>
            </w:r>
            <w:r w:rsidR="00CF5D52" w:rsidRPr="00B6443F">
              <w:rPr>
                <w:rFonts w:asciiTheme="minorHAnsi" w:hAnsiTheme="minorHAnsi" w:cstheme="minorHAnsi"/>
                <w:sz w:val="18"/>
                <w:szCs w:val="18"/>
              </w:rPr>
              <w:t>/Department Head</w:t>
            </w:r>
            <w:r w:rsidRPr="00B6443F">
              <w:rPr>
                <w:rFonts w:asciiTheme="minorHAnsi" w:hAnsiTheme="minorHAnsi" w:cstheme="minorHAnsi"/>
                <w:sz w:val="18"/>
                <w:szCs w:val="18"/>
              </w:rPr>
              <w:t xml:space="preserve">). NTNU </w:t>
            </w:r>
            <w:hyperlink r:id="rId43" w:history="1">
              <w:r w:rsidRPr="00B6443F">
                <w:rPr>
                  <w:rStyle w:val="Hyperkobling"/>
                  <w:rFonts w:asciiTheme="minorHAnsi" w:hAnsiTheme="minorHAnsi" w:cstheme="minorHAnsi"/>
                  <w:sz w:val="18"/>
                  <w:szCs w:val="18"/>
                </w:rPr>
                <w:t>guidelines</w:t>
              </w:r>
            </w:hyperlink>
            <w:r w:rsidRPr="00B6443F">
              <w:rPr>
                <w:rFonts w:asciiTheme="minorHAnsi" w:hAnsiTheme="minorHAnsi" w:cstheme="minorHAnsi"/>
                <w:sz w:val="18"/>
                <w:szCs w:val="18"/>
              </w:rPr>
              <w:t xml:space="preserve"> recommend that career development is included in these conversations. </w:t>
            </w:r>
            <w:r w:rsidR="00CF5D52" w:rsidRPr="00B6443F">
              <w:rPr>
                <w:rFonts w:asciiTheme="minorHAnsi" w:hAnsiTheme="minorHAnsi" w:cstheme="minorHAnsi"/>
                <w:sz w:val="18"/>
                <w:szCs w:val="18"/>
              </w:rPr>
              <w:t xml:space="preserve">Special guidelines are made for PhDs, Postdocs and international staff. Also PhDs and </w:t>
            </w:r>
            <w:r w:rsidRPr="00B6443F">
              <w:rPr>
                <w:rFonts w:asciiTheme="minorHAnsi" w:hAnsiTheme="minorHAnsi" w:cstheme="minorHAnsi"/>
                <w:sz w:val="18"/>
                <w:szCs w:val="18"/>
              </w:rPr>
              <w:t>Postdocs who have supervisors</w:t>
            </w:r>
            <w:r w:rsidR="00CF5D52" w:rsidRPr="00B6443F">
              <w:rPr>
                <w:rFonts w:asciiTheme="minorHAnsi" w:hAnsiTheme="minorHAnsi" w:cstheme="minorHAnsi"/>
                <w:sz w:val="18"/>
                <w:szCs w:val="18"/>
              </w:rPr>
              <w:t>, are entitled to an appraisal interview</w:t>
            </w:r>
            <w:r w:rsidRPr="00B6443F">
              <w:rPr>
                <w:rFonts w:asciiTheme="minorHAnsi" w:hAnsiTheme="minorHAnsi" w:cstheme="minorHAnsi"/>
                <w:sz w:val="18"/>
                <w:szCs w:val="18"/>
              </w:rPr>
              <w:t xml:space="preserve">. NTNU runs institutional mentor programmes for selected groups: </w:t>
            </w:r>
            <w:hyperlink r:id="rId44" w:history="1">
              <w:r w:rsidRPr="00B6443F">
                <w:rPr>
                  <w:rStyle w:val="Hyperkobling"/>
                  <w:rFonts w:asciiTheme="minorHAnsi" w:hAnsiTheme="minorHAnsi" w:cstheme="minorHAnsi"/>
                  <w:sz w:val="18"/>
                  <w:szCs w:val="18"/>
                </w:rPr>
                <w:t>female associate professors</w:t>
              </w:r>
            </w:hyperlink>
            <w:r w:rsidRPr="00B6443F">
              <w:rPr>
                <w:rFonts w:asciiTheme="minorHAnsi" w:hAnsiTheme="minorHAnsi" w:cstheme="minorHAnsi"/>
                <w:sz w:val="18"/>
                <w:szCs w:val="18"/>
              </w:rPr>
              <w:t xml:space="preserve">, postdocs, and participants in </w:t>
            </w:r>
            <w:hyperlink r:id="rId45" w:history="1">
              <w:r w:rsidRPr="00B6443F">
                <w:rPr>
                  <w:rStyle w:val="Hyperkobling"/>
                  <w:rFonts w:asciiTheme="minorHAnsi" w:hAnsiTheme="minorHAnsi" w:cstheme="minorHAnsi"/>
                  <w:sz w:val="18"/>
                  <w:szCs w:val="18"/>
                </w:rPr>
                <w:t>research excellence programmes</w:t>
              </w:r>
            </w:hyperlink>
            <w:r w:rsidRPr="00B6443F">
              <w:rPr>
                <w:rFonts w:asciiTheme="minorHAnsi" w:hAnsiTheme="minorHAnsi" w:cstheme="minorHAnsi"/>
                <w:sz w:val="18"/>
                <w:szCs w:val="18"/>
              </w:rPr>
              <w:t xml:space="preserve">. </w:t>
            </w:r>
            <w:r w:rsidR="00091FCB" w:rsidRPr="00B6443F">
              <w:rPr>
                <w:rFonts w:asciiTheme="minorHAnsi" w:hAnsiTheme="minorHAnsi" w:cstheme="minorHAnsi"/>
                <w:sz w:val="18"/>
                <w:szCs w:val="18"/>
              </w:rPr>
              <w:t>M</w:t>
            </w:r>
            <w:r w:rsidR="00E177F1" w:rsidRPr="00B6443F">
              <w:rPr>
                <w:rFonts w:asciiTheme="minorHAnsi" w:hAnsiTheme="minorHAnsi" w:cstheme="minorHAnsi"/>
                <w:sz w:val="18"/>
                <w:szCs w:val="18"/>
              </w:rPr>
              <w:t xml:space="preserve">anagement development </w:t>
            </w:r>
            <w:r w:rsidR="00091FCB" w:rsidRPr="00B6443F">
              <w:rPr>
                <w:rFonts w:asciiTheme="minorHAnsi" w:hAnsiTheme="minorHAnsi" w:cstheme="minorHAnsi"/>
                <w:sz w:val="18"/>
                <w:szCs w:val="18"/>
              </w:rPr>
              <w:t xml:space="preserve">programmes are offered for Department Heads, leaders of research groups and education programmes. Various </w:t>
            </w:r>
            <w:r w:rsidR="00E177F1" w:rsidRPr="00B6443F">
              <w:rPr>
                <w:rFonts w:asciiTheme="minorHAnsi" w:hAnsiTheme="minorHAnsi" w:cstheme="minorHAnsi"/>
                <w:sz w:val="18"/>
                <w:szCs w:val="18"/>
              </w:rPr>
              <w:t xml:space="preserve">skills oriented </w:t>
            </w:r>
            <w:hyperlink r:id="rId46" w:history="1">
              <w:r w:rsidRPr="00B6443F">
                <w:rPr>
                  <w:rStyle w:val="Hyperkobling"/>
                  <w:rFonts w:asciiTheme="minorHAnsi" w:hAnsiTheme="minorHAnsi" w:cstheme="minorHAnsi"/>
                  <w:sz w:val="18"/>
                  <w:szCs w:val="18"/>
                </w:rPr>
                <w:t>courses</w:t>
              </w:r>
            </w:hyperlink>
            <w:r w:rsidR="001A278D" w:rsidRPr="00B6443F">
              <w:rPr>
                <w:rFonts w:asciiTheme="minorHAnsi" w:hAnsiTheme="minorHAnsi" w:cstheme="minorHAnsi"/>
                <w:sz w:val="18"/>
                <w:szCs w:val="18"/>
              </w:rPr>
              <w:t xml:space="preserve"> a</w:t>
            </w:r>
            <w:r w:rsidR="00E177F1" w:rsidRPr="00B6443F">
              <w:rPr>
                <w:rFonts w:asciiTheme="minorHAnsi" w:hAnsiTheme="minorHAnsi" w:cstheme="minorHAnsi"/>
                <w:sz w:val="18"/>
                <w:szCs w:val="18"/>
              </w:rPr>
              <w:t>re</w:t>
            </w:r>
            <w:r w:rsidR="00091FCB" w:rsidRPr="00B6443F">
              <w:rPr>
                <w:rFonts w:asciiTheme="minorHAnsi" w:hAnsiTheme="minorHAnsi" w:cstheme="minorHAnsi"/>
                <w:sz w:val="18"/>
                <w:szCs w:val="18"/>
              </w:rPr>
              <w:t xml:space="preserve"> provided </w:t>
            </w:r>
            <w:r w:rsidR="00E177F1" w:rsidRPr="00B6443F">
              <w:rPr>
                <w:rFonts w:asciiTheme="minorHAnsi" w:hAnsiTheme="minorHAnsi" w:cstheme="minorHAnsi"/>
                <w:sz w:val="18"/>
                <w:szCs w:val="18"/>
              </w:rPr>
              <w:t>at</w:t>
            </w:r>
            <w:r w:rsidR="001A278D" w:rsidRPr="00B6443F">
              <w:rPr>
                <w:rFonts w:asciiTheme="minorHAnsi" w:hAnsiTheme="minorHAnsi" w:cstheme="minorHAnsi"/>
                <w:sz w:val="18"/>
                <w:szCs w:val="18"/>
              </w:rPr>
              <w:t xml:space="preserve"> institutional level</w:t>
            </w:r>
            <w:r w:rsidR="003052EA" w:rsidRPr="00B6443F">
              <w:rPr>
                <w:rFonts w:asciiTheme="minorHAnsi" w:hAnsiTheme="minorHAnsi" w:cstheme="minorHAnsi"/>
                <w:sz w:val="18"/>
                <w:szCs w:val="18"/>
              </w:rPr>
              <w:t>.</w:t>
            </w:r>
            <w:r w:rsidR="00EA12FF" w:rsidRPr="00B6443F">
              <w:rPr>
                <w:rFonts w:asciiTheme="minorHAnsi" w:hAnsiTheme="minorHAnsi" w:cstheme="minorHAnsi"/>
                <w:sz w:val="18"/>
                <w:szCs w:val="18"/>
              </w:rPr>
              <w:t xml:space="preserve"> Generic skills development in the PhD education is</w:t>
            </w:r>
            <w:r w:rsidR="00717279">
              <w:rPr>
                <w:rFonts w:asciiTheme="minorHAnsi" w:hAnsiTheme="minorHAnsi" w:cstheme="minorHAnsi"/>
                <w:sz w:val="18"/>
                <w:szCs w:val="18"/>
              </w:rPr>
              <w:t>, however,</w:t>
            </w:r>
            <w:r w:rsidR="00EA12FF" w:rsidRPr="00B6443F">
              <w:rPr>
                <w:rFonts w:asciiTheme="minorHAnsi" w:hAnsiTheme="minorHAnsi" w:cstheme="minorHAnsi"/>
                <w:sz w:val="18"/>
                <w:szCs w:val="18"/>
              </w:rPr>
              <w:t xml:space="preserve"> a Faculty responsibility.</w:t>
            </w:r>
            <w:r w:rsidR="003052EA" w:rsidRPr="00B6443F">
              <w:rPr>
                <w:rFonts w:asciiTheme="minorHAnsi" w:hAnsiTheme="minorHAnsi" w:cstheme="minorHAnsi"/>
                <w:sz w:val="18"/>
                <w:szCs w:val="18"/>
              </w:rPr>
              <w:t xml:space="preserve"> </w:t>
            </w:r>
            <w:r w:rsidR="00B27920" w:rsidRPr="00B6443F">
              <w:rPr>
                <w:rFonts w:asciiTheme="minorHAnsi" w:hAnsiTheme="minorHAnsi" w:cstheme="minorHAnsi"/>
                <w:sz w:val="18"/>
                <w:szCs w:val="18"/>
              </w:rPr>
              <w:t xml:space="preserve">It is possible to apply for leave or funding for continuing education. </w:t>
            </w:r>
            <w:r w:rsidRPr="00B6443F">
              <w:rPr>
                <w:rFonts w:asciiTheme="minorHAnsi" w:hAnsiTheme="minorHAnsi" w:cstheme="minorHAnsi"/>
                <w:sz w:val="18"/>
                <w:szCs w:val="18"/>
              </w:rPr>
              <w:t xml:space="preserve">See principle 11 on </w:t>
            </w:r>
            <w:r w:rsidR="00091FCB" w:rsidRPr="00B6443F">
              <w:rPr>
                <w:rFonts w:asciiTheme="minorHAnsi" w:hAnsiTheme="minorHAnsi" w:cstheme="minorHAnsi"/>
                <w:sz w:val="18"/>
                <w:szCs w:val="18"/>
              </w:rPr>
              <w:t xml:space="preserve">the Norwegian </w:t>
            </w:r>
            <w:r w:rsidRPr="00B6443F">
              <w:rPr>
                <w:rFonts w:asciiTheme="minorHAnsi" w:hAnsiTheme="minorHAnsi" w:cstheme="minorHAnsi"/>
                <w:sz w:val="18"/>
                <w:szCs w:val="18"/>
              </w:rPr>
              <w:t>appraisal system</w:t>
            </w:r>
            <w:r w:rsidR="00091FCB" w:rsidRPr="00B6443F">
              <w:rPr>
                <w:rFonts w:asciiTheme="minorHAnsi" w:hAnsiTheme="minorHAnsi" w:cstheme="minorHAnsi"/>
                <w:sz w:val="18"/>
                <w:szCs w:val="18"/>
              </w:rPr>
              <w:t xml:space="preserve"> and principle 33 on pedagogical skills development</w:t>
            </w:r>
            <w:r w:rsidRPr="00B6443F">
              <w:rPr>
                <w:rFonts w:asciiTheme="minorHAnsi" w:hAnsiTheme="minorHAnsi" w:cstheme="minorHAnsi"/>
                <w:sz w:val="18"/>
                <w:szCs w:val="18"/>
              </w:rPr>
              <w: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29. Value of mobility</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D34785"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International experience and networks are valued relating to academic appointments. Experience from outside academia is appreciated to the extent it is relevant for the post. NTNU salary and social benefits can be transferred during guest researcher/sabbatical periods abroad. Transfer of social security provisions between sectors and countries subject to job changes, must be solved at national and international level.</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lastRenderedPageBreak/>
              <w:t>30. Access to career advice</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851FE0" w:rsidRPr="00851FE0" w:rsidRDefault="00D34785" w:rsidP="00851FE0">
            <w:pPr>
              <w:rPr>
                <w:rFonts w:eastAsiaTheme="minorHAnsi" w:cs="Calibri"/>
                <w:sz w:val="18"/>
                <w:szCs w:val="18"/>
                <w:lang w:val="en-US"/>
              </w:rPr>
            </w:pPr>
            <w:r w:rsidRPr="00B6443F">
              <w:rPr>
                <w:rFonts w:asciiTheme="minorHAnsi" w:hAnsiTheme="minorHAnsi" w:cstheme="minorHAnsi"/>
                <w:sz w:val="18"/>
                <w:szCs w:val="18"/>
              </w:rPr>
              <w:t xml:space="preserve">See principle 28 with respect to career advice from managers and mentors. </w:t>
            </w:r>
            <w:r w:rsidR="00851FE0" w:rsidRPr="00851FE0">
              <w:rPr>
                <w:rFonts w:cs="Calibri"/>
                <w:sz w:val="18"/>
                <w:szCs w:val="18"/>
                <w:lang w:val="en-US"/>
              </w:rPr>
              <w:t>The Norwegian Ministry of Education urges the universities to improve the career advice and offer staff development through all stages of their career. This is a development area for Norwegian universities.</w:t>
            </w:r>
          </w:p>
          <w:p w:rsidR="00D34785" w:rsidRPr="00B6443F" w:rsidRDefault="00851FE0" w:rsidP="00416AD9">
            <w:pPr>
              <w:rPr>
                <w:rFonts w:asciiTheme="minorHAnsi" w:eastAsia="Times New Roman" w:hAnsiTheme="minorHAnsi" w:cstheme="minorHAnsi"/>
                <w:sz w:val="18"/>
                <w:szCs w:val="18"/>
                <w:lang w:val="nl-BE"/>
              </w:rPr>
            </w:pPr>
            <w:r w:rsidRPr="00851FE0">
              <w:rPr>
                <w:rFonts w:cs="Calibri"/>
                <w:sz w:val="18"/>
                <w:szCs w:val="18"/>
                <w:lang w:val="en-US"/>
              </w:rPr>
              <w:t>The majority of the PhDs candidates educated at NTNU will have their career outside NTNU</w:t>
            </w:r>
            <w:r>
              <w:rPr>
                <w:rFonts w:cs="Calibri"/>
                <w:sz w:val="18"/>
                <w:szCs w:val="18"/>
                <w:lang w:val="en-US"/>
              </w:rPr>
              <w:t>;</w:t>
            </w:r>
            <w:r w:rsidRPr="00851FE0">
              <w:rPr>
                <w:rFonts w:cs="Calibri"/>
                <w:sz w:val="18"/>
                <w:szCs w:val="18"/>
                <w:lang w:val="en-US"/>
              </w:rPr>
              <w:t xml:space="preserve"> </w:t>
            </w:r>
            <w:r w:rsidR="00D34785" w:rsidRPr="00851FE0">
              <w:rPr>
                <w:rFonts w:asciiTheme="minorHAnsi" w:hAnsiTheme="minorHAnsi" w:cstheme="minorHAnsi"/>
                <w:sz w:val="18"/>
                <w:szCs w:val="18"/>
              </w:rPr>
              <w:t>Research</w:t>
            </w:r>
            <w:r w:rsidR="00D34785" w:rsidRPr="00B6443F">
              <w:rPr>
                <w:rFonts w:asciiTheme="minorHAnsi" w:hAnsiTheme="minorHAnsi" w:cstheme="minorHAnsi"/>
                <w:sz w:val="18"/>
                <w:szCs w:val="18"/>
              </w:rPr>
              <w:t xml:space="preserve"> groups and senior staff aim to include junior staff in their academic networks and external partnerships. In an institutional effort to raise awareness of the added value of PhD education in other sectors of working life, the first </w:t>
            </w:r>
            <w:hyperlink r:id="rId47" w:history="1">
              <w:r w:rsidR="00D34785" w:rsidRPr="00B6443F">
                <w:rPr>
                  <w:rStyle w:val="Hyperkobling"/>
                  <w:rFonts w:asciiTheme="minorHAnsi" w:hAnsiTheme="minorHAnsi" w:cstheme="minorHAnsi"/>
                  <w:sz w:val="18"/>
                  <w:szCs w:val="18"/>
                </w:rPr>
                <w:t xml:space="preserve">annual PhD-conference </w:t>
              </w:r>
            </w:hyperlink>
            <w:r w:rsidR="00D34785" w:rsidRPr="00B6443F">
              <w:rPr>
                <w:rFonts w:asciiTheme="minorHAnsi" w:hAnsiTheme="minorHAnsi" w:cstheme="minorHAnsi"/>
                <w:sz w:val="18"/>
                <w:szCs w:val="18"/>
              </w:rPr>
              <w:t xml:space="preserve">was organized in 2017. In the Postdoc Action pilot project 2017-2019; new </w:t>
            </w:r>
            <w:hyperlink r:id="rId48" w:history="1">
              <w:r w:rsidR="00D34785" w:rsidRPr="00B6443F">
                <w:rPr>
                  <w:rStyle w:val="Hyperkobling"/>
                  <w:rFonts w:asciiTheme="minorHAnsi" w:hAnsiTheme="minorHAnsi" w:cstheme="minorHAnsi"/>
                  <w:sz w:val="18"/>
                  <w:szCs w:val="18"/>
                </w:rPr>
                <w:t>career instruments</w:t>
              </w:r>
            </w:hyperlink>
            <w:r w:rsidR="00D34785" w:rsidRPr="00B6443F">
              <w:rPr>
                <w:rFonts w:asciiTheme="minorHAnsi" w:hAnsiTheme="minorHAnsi" w:cstheme="minorHAnsi"/>
                <w:sz w:val="18"/>
                <w:szCs w:val="18"/>
              </w:rPr>
              <w:t xml:space="preserve"> were developed, and </w:t>
            </w:r>
            <w:r w:rsidR="00416AD9">
              <w:rPr>
                <w:rFonts w:asciiTheme="minorHAnsi" w:hAnsiTheme="minorHAnsi" w:cstheme="minorHAnsi"/>
                <w:sz w:val="18"/>
                <w:szCs w:val="18"/>
              </w:rPr>
              <w:t xml:space="preserve">national and international </w:t>
            </w:r>
            <w:r w:rsidR="00D34785" w:rsidRPr="00B6443F">
              <w:rPr>
                <w:rFonts w:asciiTheme="minorHAnsi" w:hAnsiTheme="minorHAnsi" w:cstheme="minorHAnsi"/>
                <w:sz w:val="18"/>
                <w:szCs w:val="18"/>
              </w:rPr>
              <w:t xml:space="preserve">online resources identified for career advice and job placement assistance. These instruments and resources will also be relevant to other research staff at NTNU. </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31. Intellectual Property Rights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D34785"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IPR developed by NTNU employees is as a general rule owned by the university according to national legislation and </w:t>
            </w:r>
            <w:hyperlink r:id="rId49" w:history="1">
              <w:r w:rsidRPr="00B6443F">
                <w:rPr>
                  <w:rStyle w:val="Hyperkobling"/>
                  <w:rFonts w:asciiTheme="minorHAnsi" w:hAnsiTheme="minorHAnsi" w:cstheme="minorHAnsi"/>
                  <w:sz w:val="18"/>
                  <w:szCs w:val="18"/>
                </w:rPr>
                <w:t>NTNU IPR Policy</w:t>
              </w:r>
            </w:hyperlink>
            <w:r w:rsidRPr="00B6443F">
              <w:rPr>
                <w:rFonts w:asciiTheme="minorHAnsi" w:hAnsiTheme="minorHAnsi" w:cstheme="minorHAnsi"/>
                <w:sz w:val="18"/>
                <w:szCs w:val="18"/>
              </w:rPr>
              <w:t>. NTNU will not require commercial rights to traditional academic literature, musical works and works of art. See principle 8 with respect to IPR protection and support for commercialization.</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32. Co-authorship</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D34785"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Students, research fellows and researchers are recognized as independent authors and co-authors according to international practise in each discipline (</w:t>
            </w:r>
            <w:hyperlink r:id="rId50" w:history="1">
              <w:r w:rsidRPr="00B6443F">
                <w:rPr>
                  <w:rStyle w:val="Hyperkobling"/>
                  <w:rFonts w:asciiTheme="minorHAnsi" w:hAnsiTheme="minorHAnsi" w:cstheme="minorHAnsi"/>
                  <w:sz w:val="18"/>
                  <w:szCs w:val="18"/>
                </w:rPr>
                <w:t>Code of ethics for employees at NTNU</w:t>
              </w:r>
            </w:hyperlink>
            <w:r w:rsidRPr="00B6443F">
              <w:rPr>
                <w:rFonts w:asciiTheme="minorHAnsi" w:hAnsiTheme="minorHAnsi" w:cstheme="minorHAnsi"/>
                <w:sz w:val="18"/>
                <w:szCs w:val="18"/>
              </w:rPr>
              <w:t xml:space="preserve">). Students/research fellows contributions to patents are </w:t>
            </w:r>
            <w:proofErr w:type="spellStart"/>
            <w:r w:rsidRPr="00B6443F">
              <w:rPr>
                <w:rFonts w:asciiTheme="minorHAnsi" w:hAnsiTheme="minorHAnsi" w:cstheme="minorHAnsi"/>
                <w:sz w:val="18"/>
                <w:szCs w:val="18"/>
              </w:rPr>
              <w:t>are</w:t>
            </w:r>
            <w:proofErr w:type="spellEnd"/>
            <w:r w:rsidRPr="00B6443F">
              <w:rPr>
                <w:rFonts w:asciiTheme="minorHAnsi" w:hAnsiTheme="minorHAnsi" w:cstheme="minorHAnsi"/>
                <w:sz w:val="18"/>
                <w:szCs w:val="18"/>
              </w:rPr>
              <w:t xml:space="preserve"> recognized (</w:t>
            </w:r>
            <w:hyperlink r:id="rId51" w:history="1">
              <w:r w:rsidRPr="00B6443F">
                <w:rPr>
                  <w:rStyle w:val="Hyperkobling"/>
                  <w:rFonts w:asciiTheme="minorHAnsi" w:hAnsiTheme="minorHAnsi" w:cstheme="minorHAnsi"/>
                  <w:sz w:val="18"/>
                  <w:szCs w:val="18"/>
                </w:rPr>
                <w:t>NTNU IPR Policy</w:t>
              </w:r>
            </w:hyperlink>
            <w:r w:rsidRPr="00B6443F">
              <w:rPr>
                <w:rFonts w:asciiTheme="minorHAnsi" w:hAnsiTheme="minorHAnsi" w:cstheme="minorHAnsi"/>
                <w:sz w:val="18"/>
                <w:szCs w:val="18"/>
              </w:rPr>
              <w:t>).</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33. Teaching</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264907" w:rsidRDefault="00D34785" w:rsidP="00264907">
            <w:pPr>
              <w:rPr>
                <w:sz w:val="18"/>
                <w:szCs w:val="18"/>
              </w:rPr>
            </w:pPr>
            <w:r w:rsidRPr="00B6443F">
              <w:rPr>
                <w:rFonts w:asciiTheme="minorHAnsi" w:hAnsiTheme="minorHAnsi" w:cstheme="minorHAnsi"/>
                <w:sz w:val="18"/>
                <w:szCs w:val="18"/>
              </w:rPr>
              <w:t xml:space="preserve">NTNU may according to national regulations offer longer contracts for Research Fellows/Postdocs to gain teaching experience from duty work. It is not a right and depends on available funding and local needs.  Formal </w:t>
            </w:r>
            <w:hyperlink r:id="rId52" w:history="1">
              <w:r w:rsidRPr="00B6443F">
                <w:rPr>
                  <w:rStyle w:val="Hyperkobling"/>
                  <w:rFonts w:asciiTheme="minorHAnsi" w:hAnsiTheme="minorHAnsi" w:cstheme="minorHAnsi"/>
                  <w:sz w:val="18"/>
                  <w:szCs w:val="18"/>
                </w:rPr>
                <w:t>pedagogical competence training</w:t>
              </w:r>
            </w:hyperlink>
            <w:r w:rsidRPr="00B6443F">
              <w:rPr>
                <w:rFonts w:asciiTheme="minorHAnsi" w:hAnsiTheme="minorHAnsi" w:cstheme="minorHAnsi"/>
                <w:sz w:val="18"/>
                <w:szCs w:val="18"/>
              </w:rPr>
              <w:t xml:space="preserve"> is obligatory for permanent academic staff</w:t>
            </w:r>
            <w:r w:rsidR="00971ECB" w:rsidRPr="00B6443F">
              <w:rPr>
                <w:rFonts w:asciiTheme="minorHAnsi" w:hAnsiTheme="minorHAnsi" w:cstheme="minorHAnsi"/>
                <w:sz w:val="18"/>
                <w:szCs w:val="18"/>
              </w:rPr>
              <w:t xml:space="preserve">. A shorter </w:t>
            </w:r>
            <w:proofErr w:type="gramStart"/>
            <w:r w:rsidR="00971ECB" w:rsidRPr="00B6443F">
              <w:rPr>
                <w:rFonts w:asciiTheme="minorHAnsi" w:hAnsiTheme="minorHAnsi" w:cstheme="minorHAnsi"/>
                <w:sz w:val="18"/>
                <w:szCs w:val="18"/>
              </w:rPr>
              <w:t>3 day</w:t>
            </w:r>
            <w:proofErr w:type="gramEnd"/>
            <w:r w:rsidR="00971ECB" w:rsidRPr="00B6443F">
              <w:rPr>
                <w:rFonts w:asciiTheme="minorHAnsi" w:hAnsiTheme="minorHAnsi" w:cstheme="minorHAnsi"/>
                <w:sz w:val="18"/>
                <w:szCs w:val="18"/>
              </w:rPr>
              <w:t xml:space="preserve"> programme is available for PhDs/Postdocs</w:t>
            </w:r>
            <w:r w:rsidRPr="00B6443F">
              <w:rPr>
                <w:rFonts w:asciiTheme="minorHAnsi" w:hAnsiTheme="minorHAnsi" w:cstheme="minorHAnsi"/>
                <w:sz w:val="18"/>
                <w:szCs w:val="18"/>
              </w:rPr>
              <w:t xml:space="preserve">. </w:t>
            </w:r>
            <w:r w:rsidR="00AE03C7" w:rsidRPr="00B6443F">
              <w:rPr>
                <w:rFonts w:asciiTheme="minorHAnsi" w:hAnsiTheme="minorHAnsi" w:cstheme="minorHAnsi"/>
                <w:sz w:val="18"/>
                <w:szCs w:val="18"/>
              </w:rPr>
              <w:t xml:space="preserve">NTNU encourages staff to make use of new education </w:t>
            </w:r>
            <w:r w:rsidR="00F64462">
              <w:rPr>
                <w:rFonts w:asciiTheme="minorHAnsi" w:hAnsiTheme="minorHAnsi" w:cstheme="minorHAnsi"/>
                <w:sz w:val="18"/>
                <w:szCs w:val="18"/>
              </w:rPr>
              <w:t xml:space="preserve">and learning </w:t>
            </w:r>
            <w:r w:rsidR="00AE03C7" w:rsidRPr="00B6443F">
              <w:rPr>
                <w:rFonts w:asciiTheme="minorHAnsi" w:hAnsiTheme="minorHAnsi" w:cstheme="minorHAnsi"/>
                <w:sz w:val="18"/>
                <w:szCs w:val="18"/>
              </w:rPr>
              <w:t xml:space="preserve">methods </w:t>
            </w:r>
            <w:r w:rsidR="008F6E62">
              <w:rPr>
                <w:sz w:val="18"/>
                <w:szCs w:val="18"/>
              </w:rPr>
              <w:t>(</w:t>
            </w:r>
            <w:hyperlink r:id="rId53" w:history="1">
              <w:r w:rsidR="008F6E62" w:rsidRPr="008F6E62">
                <w:rPr>
                  <w:rStyle w:val="Hyperkobling"/>
                  <w:sz w:val="18"/>
                  <w:szCs w:val="18"/>
                </w:rPr>
                <w:t>learning support</w:t>
              </w:r>
            </w:hyperlink>
            <w:r w:rsidR="008F6E62">
              <w:rPr>
                <w:sz w:val="18"/>
                <w:szCs w:val="18"/>
              </w:rPr>
              <w:t xml:space="preserve">, </w:t>
            </w:r>
            <w:hyperlink r:id="rId54" w:history="1">
              <w:r w:rsidR="008F6E62" w:rsidRPr="008F6E62">
                <w:rPr>
                  <w:rStyle w:val="Hyperkobling"/>
                  <w:sz w:val="18"/>
                  <w:szCs w:val="18"/>
                </w:rPr>
                <w:t>network activities</w:t>
              </w:r>
            </w:hyperlink>
            <w:r w:rsidR="00E43588">
              <w:rPr>
                <w:sz w:val="18"/>
                <w:szCs w:val="18"/>
              </w:rPr>
              <w:t xml:space="preserve">, </w:t>
            </w:r>
            <w:hyperlink r:id="rId55" w:history="1">
              <w:r w:rsidR="00E43588" w:rsidRPr="00E43588">
                <w:rPr>
                  <w:rStyle w:val="Hyperkobling"/>
                  <w:sz w:val="18"/>
                  <w:szCs w:val="18"/>
                </w:rPr>
                <w:t>Teaching Excellence</w:t>
              </w:r>
            </w:hyperlink>
            <w:r w:rsidR="00930F65">
              <w:rPr>
                <w:sz w:val="18"/>
                <w:szCs w:val="18"/>
              </w:rPr>
              <w:t>)</w:t>
            </w:r>
            <w:r w:rsidR="00F64462">
              <w:rPr>
                <w:sz w:val="18"/>
                <w:szCs w:val="18"/>
              </w:rPr>
              <w:t xml:space="preserve">, and </w:t>
            </w:r>
            <w:r w:rsidR="00264907">
              <w:rPr>
                <w:sz w:val="18"/>
                <w:szCs w:val="18"/>
              </w:rPr>
              <w:t>takes education competence</w:t>
            </w:r>
            <w:r w:rsidR="00F64462">
              <w:rPr>
                <w:sz w:val="18"/>
                <w:szCs w:val="18"/>
              </w:rPr>
              <w:t xml:space="preserve"> and performance</w:t>
            </w:r>
            <w:r w:rsidR="00264907">
              <w:rPr>
                <w:sz w:val="18"/>
                <w:szCs w:val="18"/>
              </w:rPr>
              <w:t xml:space="preserve"> into account in the internal appraisal system. </w:t>
            </w:r>
          </w:p>
          <w:p w:rsidR="004D1C24" w:rsidRPr="00B6443F" w:rsidRDefault="00D34785" w:rsidP="00264907">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Note that at NTNU, supervision is part of the research work for academic staff, while only PhD-courses are considered a teaching duty. </w:t>
            </w:r>
            <w:r w:rsidR="00E43588">
              <w:rPr>
                <w:rFonts w:asciiTheme="minorHAnsi" w:hAnsiTheme="minorHAnsi" w:cstheme="minorHAnsi"/>
                <w:sz w:val="18"/>
                <w:szCs w:val="18"/>
              </w:rPr>
              <w:t xml:space="preserve">Competence development </w:t>
            </w:r>
            <w:r w:rsidR="00E43588" w:rsidRPr="00B6443F">
              <w:rPr>
                <w:rFonts w:asciiTheme="minorHAnsi" w:hAnsiTheme="minorHAnsi" w:cstheme="minorHAnsi"/>
                <w:sz w:val="18"/>
                <w:szCs w:val="18"/>
              </w:rPr>
              <w:t>courses for supervisors are offered at institutional level and by some Faculties.</w:t>
            </w:r>
          </w:p>
        </w:tc>
        <w:tc>
          <w:tcPr>
            <w:tcW w:w="2607" w:type="dxa"/>
            <w:shd w:val="clear" w:color="auto" w:fill="auto"/>
          </w:tcPr>
          <w:p w:rsidR="004D1C24" w:rsidRPr="00D44518" w:rsidRDefault="00D34785" w:rsidP="009767FA">
            <w:pPr>
              <w:spacing w:after="0" w:line="240" w:lineRule="auto"/>
              <w:rPr>
                <w:rFonts w:eastAsia="Times New Roman"/>
                <w:sz w:val="20"/>
                <w:szCs w:val="20"/>
                <w:lang w:val="nl-BE"/>
              </w:rPr>
            </w:pPr>
            <w:r>
              <w:rPr>
                <w:sz w:val="18"/>
              </w:rPr>
              <w:t>C</w:t>
            </w:r>
            <w:r w:rsidRPr="00D34785">
              <w:rPr>
                <w:sz w:val="18"/>
              </w:rPr>
              <w:t xml:space="preserve">urrent national regulations </w:t>
            </w:r>
            <w:r w:rsidR="009A493E">
              <w:rPr>
                <w:sz w:val="18"/>
              </w:rPr>
              <w:t xml:space="preserve">makes it </w:t>
            </w:r>
            <w:r w:rsidR="00676446">
              <w:rPr>
                <w:sz w:val="18"/>
              </w:rPr>
              <w:t>difficult</w:t>
            </w:r>
            <w:r w:rsidR="009A493E">
              <w:rPr>
                <w:sz w:val="18"/>
              </w:rPr>
              <w:t xml:space="preserve"> to</w:t>
            </w:r>
            <w:r w:rsidRPr="00D34785">
              <w:rPr>
                <w:sz w:val="18"/>
              </w:rPr>
              <w:t xml:space="preserve"> allocat</w:t>
            </w:r>
            <w:r w:rsidR="009A493E">
              <w:rPr>
                <w:sz w:val="18"/>
              </w:rPr>
              <w:t>e</w:t>
            </w:r>
            <w:r w:rsidRPr="00D34785">
              <w:rPr>
                <w:sz w:val="18"/>
              </w:rPr>
              <w:t xml:space="preserve"> teaching duties to research</w:t>
            </w:r>
            <w:r w:rsidR="009A493E">
              <w:rPr>
                <w:sz w:val="18"/>
              </w:rPr>
              <w:t xml:space="preserve"> staff as it may trigger employment rights</w:t>
            </w:r>
            <w:r w:rsidR="00707CB3">
              <w:rPr>
                <w:sz w:val="18"/>
              </w:rPr>
              <w:t xml:space="preserve"> to </w:t>
            </w:r>
            <w:r w:rsidR="004D0792">
              <w:rPr>
                <w:sz w:val="18"/>
              </w:rPr>
              <w:t>other “</w:t>
            </w:r>
            <w:r w:rsidR="00707CB3">
              <w:rPr>
                <w:sz w:val="18"/>
              </w:rPr>
              <w:t>similar post</w:t>
            </w:r>
            <w:r w:rsidR="000A51C3">
              <w:rPr>
                <w:sz w:val="18"/>
              </w:rPr>
              <w:t>s</w:t>
            </w:r>
            <w:r w:rsidR="004D0792">
              <w:rPr>
                <w:sz w:val="18"/>
              </w:rPr>
              <w:t>” (</w:t>
            </w:r>
            <w:r w:rsidR="008B07DB">
              <w:rPr>
                <w:sz w:val="18"/>
              </w:rPr>
              <w:t xml:space="preserve">a court case </w:t>
            </w:r>
            <w:r w:rsidR="000A51C3">
              <w:rPr>
                <w:sz w:val="18"/>
              </w:rPr>
              <w:t>ruled that</w:t>
            </w:r>
            <w:r w:rsidR="004D0792">
              <w:rPr>
                <w:sz w:val="18"/>
              </w:rPr>
              <w:t xml:space="preserve"> associate professor </w:t>
            </w:r>
            <w:r w:rsidR="000A51C3">
              <w:rPr>
                <w:sz w:val="18"/>
              </w:rPr>
              <w:t>could be considered a</w:t>
            </w:r>
            <w:r w:rsidR="008B07DB">
              <w:rPr>
                <w:sz w:val="18"/>
              </w:rPr>
              <w:t xml:space="preserve"> “similar”</w:t>
            </w:r>
            <w:r w:rsidR="000A51C3">
              <w:rPr>
                <w:sz w:val="18"/>
              </w:rPr>
              <w:t xml:space="preserve"> post</w:t>
            </w:r>
            <w:r w:rsidR="004D0792">
              <w:rPr>
                <w:sz w:val="18"/>
              </w:rPr>
              <w:t>)</w:t>
            </w:r>
            <w:r w:rsidR="009A493E">
              <w:rPr>
                <w:sz w:val="18"/>
              </w:rPr>
              <w:t>.</w:t>
            </w:r>
            <w:r w:rsidRPr="00D34785">
              <w:rPr>
                <w:sz w:val="18"/>
              </w:rPr>
              <w:t xml:space="preserve"> A committee appointed by the Ministry of Education recommended (2018) </w:t>
            </w:r>
            <w:r w:rsidR="00707CB3">
              <w:rPr>
                <w:sz w:val="18"/>
              </w:rPr>
              <w:t xml:space="preserve">that </w:t>
            </w:r>
            <w:r w:rsidR="00676446">
              <w:rPr>
                <w:sz w:val="18"/>
              </w:rPr>
              <w:t xml:space="preserve">the future academic career system in Norway should allow a more flexible use of </w:t>
            </w:r>
            <w:r w:rsidR="00707CB3">
              <w:rPr>
                <w:sz w:val="18"/>
              </w:rPr>
              <w:t>research</w:t>
            </w:r>
            <w:r w:rsidR="000A51C3">
              <w:rPr>
                <w:sz w:val="18"/>
              </w:rPr>
              <w:t xml:space="preserve"> </w:t>
            </w:r>
            <w:r w:rsidR="00707CB3">
              <w:rPr>
                <w:sz w:val="18"/>
              </w:rPr>
              <w:t xml:space="preserve">and teaching </w:t>
            </w:r>
            <w:r w:rsidR="0087266E">
              <w:rPr>
                <w:sz w:val="18"/>
              </w:rPr>
              <w:t>posts</w:t>
            </w:r>
            <w:r w:rsidR="004D0792">
              <w:rPr>
                <w:sz w:val="18"/>
              </w:rPr>
              <w:t xml:space="preserve"> without triggering rights to associate and full professor positions</w:t>
            </w:r>
            <w:r w:rsidRPr="00D34785">
              <w:rPr>
                <w:sz w:val="18"/>
              </w:rPr>
              <w:t>.</w:t>
            </w:r>
            <w:r w:rsidR="000E3E9E">
              <w:rPr>
                <w:sz w:val="18"/>
              </w:rPr>
              <w:t xml:space="preserve"> </w:t>
            </w: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34. Complains/ appeals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9A493E" w:rsidP="00214BF5">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Conflicts shall be solved by the line management</w:t>
            </w:r>
            <w:r w:rsidR="00214BF5">
              <w:rPr>
                <w:rFonts w:asciiTheme="minorHAnsi" w:hAnsiTheme="minorHAnsi" w:cstheme="minorHAnsi"/>
                <w:sz w:val="18"/>
                <w:szCs w:val="18"/>
              </w:rPr>
              <w:t xml:space="preserve">; locally at the research group/department level, or at Faculty level if this is more appropriate. </w:t>
            </w:r>
            <w:r w:rsidRPr="00B6443F">
              <w:rPr>
                <w:rFonts w:asciiTheme="minorHAnsi" w:hAnsiTheme="minorHAnsi" w:cstheme="minorHAnsi"/>
                <w:sz w:val="18"/>
                <w:szCs w:val="18"/>
              </w:rPr>
              <w:t xml:space="preserve">Serious cases shall be </w:t>
            </w:r>
            <w:r w:rsidR="005968AE">
              <w:rPr>
                <w:rFonts w:asciiTheme="minorHAnsi" w:hAnsiTheme="minorHAnsi" w:cstheme="minorHAnsi"/>
                <w:sz w:val="18"/>
                <w:szCs w:val="18"/>
              </w:rPr>
              <w:t>handled</w:t>
            </w:r>
            <w:r w:rsidRPr="00B6443F">
              <w:rPr>
                <w:rFonts w:asciiTheme="minorHAnsi" w:hAnsiTheme="minorHAnsi" w:cstheme="minorHAnsi"/>
                <w:sz w:val="18"/>
                <w:szCs w:val="18"/>
              </w:rPr>
              <w:t xml:space="preserve"> in accordance with the </w:t>
            </w:r>
            <w:hyperlink r:id="rId56" w:history="1">
              <w:r w:rsidRPr="00B6443F">
                <w:rPr>
                  <w:rStyle w:val="Hyperkobling"/>
                  <w:rFonts w:asciiTheme="minorHAnsi" w:hAnsiTheme="minorHAnsi" w:cstheme="minorHAnsi"/>
                  <w:sz w:val="18"/>
                  <w:szCs w:val="18"/>
                </w:rPr>
                <w:t>routines for whistleblowing</w:t>
              </w:r>
            </w:hyperlink>
            <w:r w:rsidRPr="00B6443F">
              <w:rPr>
                <w:rFonts w:asciiTheme="minorHAnsi" w:hAnsiTheme="minorHAnsi" w:cstheme="minorHAnsi"/>
                <w:sz w:val="18"/>
                <w:szCs w:val="18"/>
              </w:rPr>
              <w:t xml:space="preserve">; It is an option to have a complaint examined at NTNU-level. </w:t>
            </w:r>
            <w:r w:rsidR="00214BF5">
              <w:rPr>
                <w:rFonts w:asciiTheme="minorHAnsi" w:hAnsiTheme="minorHAnsi" w:cstheme="minorHAnsi"/>
                <w:sz w:val="18"/>
                <w:szCs w:val="18"/>
              </w:rPr>
              <w:t xml:space="preserve">In the revised routine for </w:t>
            </w:r>
            <w:r w:rsidRPr="00B6443F">
              <w:rPr>
                <w:rFonts w:asciiTheme="minorHAnsi" w:hAnsiTheme="minorHAnsi" w:cstheme="minorHAnsi"/>
                <w:sz w:val="18"/>
                <w:szCs w:val="18"/>
              </w:rPr>
              <w:t>annual reporting</w:t>
            </w:r>
            <w:r w:rsidR="00214BF5">
              <w:rPr>
                <w:rFonts w:asciiTheme="minorHAnsi" w:hAnsiTheme="minorHAnsi" w:cstheme="minorHAnsi"/>
                <w:sz w:val="18"/>
                <w:szCs w:val="18"/>
              </w:rPr>
              <w:t xml:space="preserve"> in the PhD education</w:t>
            </w:r>
            <w:r w:rsidRPr="00B6443F">
              <w:rPr>
                <w:rFonts w:asciiTheme="minorHAnsi" w:hAnsiTheme="minorHAnsi" w:cstheme="minorHAnsi"/>
                <w:sz w:val="18"/>
                <w:szCs w:val="18"/>
              </w:rPr>
              <w:t xml:space="preserve">, </w:t>
            </w:r>
            <w:r w:rsidR="00214BF5">
              <w:rPr>
                <w:rFonts w:asciiTheme="minorHAnsi" w:hAnsiTheme="minorHAnsi" w:cstheme="minorHAnsi"/>
                <w:sz w:val="18"/>
                <w:szCs w:val="18"/>
              </w:rPr>
              <w:t xml:space="preserve">PhDs may </w:t>
            </w:r>
            <w:r w:rsidRPr="00B6443F">
              <w:rPr>
                <w:rFonts w:asciiTheme="minorHAnsi" w:hAnsiTheme="minorHAnsi" w:cstheme="minorHAnsi"/>
                <w:sz w:val="18"/>
                <w:szCs w:val="18"/>
              </w:rPr>
              <w:t>ask for a meeting with the PhD administration</w:t>
            </w:r>
            <w:r w:rsidR="00214BF5">
              <w:rPr>
                <w:rFonts w:asciiTheme="minorHAnsi" w:hAnsiTheme="minorHAnsi" w:cstheme="minorHAnsi"/>
                <w:sz w:val="18"/>
                <w:szCs w:val="18"/>
              </w:rPr>
              <w:t xml:space="preserve"> at their Faculty</w:t>
            </w:r>
            <w:r w:rsidRPr="00B6443F">
              <w:rPr>
                <w:rFonts w:asciiTheme="minorHAnsi" w:hAnsiTheme="minorHAnsi" w:cstheme="minorHAnsi"/>
                <w:sz w:val="18"/>
                <w:szCs w:val="18"/>
              </w:rPr>
              <w:t xml:space="preserve"> if they have a concern or complaint, including conflicts with supervisors. Employee representatives or personal safety deputies </w:t>
            </w:r>
            <w:r w:rsidR="00041156">
              <w:rPr>
                <w:rFonts w:asciiTheme="minorHAnsi" w:hAnsiTheme="minorHAnsi" w:cstheme="minorHAnsi"/>
                <w:sz w:val="18"/>
                <w:szCs w:val="18"/>
              </w:rPr>
              <w:t>(“</w:t>
            </w:r>
            <w:proofErr w:type="spellStart"/>
            <w:r w:rsidR="00041156">
              <w:rPr>
                <w:rFonts w:asciiTheme="minorHAnsi" w:hAnsiTheme="minorHAnsi" w:cstheme="minorHAnsi"/>
                <w:sz w:val="18"/>
                <w:szCs w:val="18"/>
              </w:rPr>
              <w:t>verneombud</w:t>
            </w:r>
            <w:proofErr w:type="spellEnd"/>
            <w:r w:rsidR="00041156">
              <w:rPr>
                <w:rFonts w:asciiTheme="minorHAnsi" w:hAnsiTheme="minorHAnsi" w:cstheme="minorHAnsi"/>
                <w:sz w:val="18"/>
                <w:szCs w:val="18"/>
              </w:rPr>
              <w:t xml:space="preserve">”) </w:t>
            </w:r>
            <w:r w:rsidRPr="00B6443F">
              <w:rPr>
                <w:rFonts w:asciiTheme="minorHAnsi" w:hAnsiTheme="minorHAnsi" w:cstheme="minorHAnsi"/>
                <w:sz w:val="18"/>
                <w:szCs w:val="18"/>
              </w:rPr>
              <w:t>may provide assistance in resolving work-related conflicts.</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rPr>
            </w:pPr>
            <w:r w:rsidRPr="00D44518">
              <w:rPr>
                <w:rFonts w:eastAsia="Times New Roman"/>
                <w:sz w:val="20"/>
                <w:szCs w:val="20"/>
              </w:rPr>
              <w:t>35. Participation in decision-making bodies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9A493E" w:rsidP="00612657">
            <w:pPr>
              <w:rPr>
                <w:rFonts w:asciiTheme="minorHAnsi" w:eastAsia="Times New Roman" w:hAnsiTheme="minorHAnsi" w:cstheme="minorHAnsi"/>
                <w:sz w:val="18"/>
                <w:szCs w:val="18"/>
              </w:rPr>
            </w:pPr>
            <w:r w:rsidRPr="00B6443F">
              <w:rPr>
                <w:rFonts w:asciiTheme="minorHAnsi" w:hAnsiTheme="minorHAnsi" w:cstheme="minorHAnsi"/>
                <w:sz w:val="18"/>
                <w:szCs w:val="18"/>
              </w:rPr>
              <w:t>Permanent and temporary academic staff elects representatives to Department Boards, Faculty Boards and the University Board.</w:t>
            </w:r>
            <w:r w:rsidR="00612657">
              <w:rPr>
                <w:rFonts w:asciiTheme="minorHAnsi" w:hAnsiTheme="minorHAnsi" w:cstheme="minorHAnsi"/>
                <w:sz w:val="18"/>
                <w:szCs w:val="18"/>
              </w:rPr>
              <w:t xml:space="preserve"> </w:t>
            </w:r>
            <w:r w:rsidRPr="00B6443F">
              <w:rPr>
                <w:rFonts w:asciiTheme="minorHAnsi" w:hAnsiTheme="minorHAnsi" w:cstheme="minorHAnsi"/>
                <w:sz w:val="18"/>
                <w:szCs w:val="18"/>
              </w:rPr>
              <w:t>A non-hierarchical organization is characteristic of the Norwegian working life culture</w:t>
            </w:r>
            <w:r w:rsidR="00612657">
              <w:rPr>
                <w:rFonts w:asciiTheme="minorHAnsi" w:hAnsiTheme="minorHAnsi" w:cstheme="minorHAnsi"/>
                <w:sz w:val="18"/>
                <w:szCs w:val="18"/>
              </w:rPr>
              <w:t>;</w:t>
            </w:r>
            <w:r w:rsidRPr="00B6443F">
              <w:rPr>
                <w:rFonts w:asciiTheme="minorHAnsi" w:hAnsiTheme="minorHAnsi" w:cstheme="minorHAnsi"/>
                <w:sz w:val="18"/>
                <w:szCs w:val="18"/>
              </w:rPr>
              <w:t xml:space="preserve"> Initiatives and views of junior staff are appreciated. Regular consultation and information meetings are held at the Departments.</w:t>
            </w:r>
            <w:r w:rsidRPr="00B6443F">
              <w:rPr>
                <w:rFonts w:asciiTheme="minorHAnsi" w:hAnsiTheme="minorHAnsi" w:cstheme="minorHAnsi"/>
                <w:sz w:val="18"/>
                <w:szCs w:val="18"/>
              </w:rPr>
              <w:br/>
              <w:t xml:space="preserve">Labour unions attend to their member’s interest in wage negotiations and individual cases relating to the working environment. </w:t>
            </w:r>
            <w:r w:rsidR="00612657">
              <w:rPr>
                <w:rFonts w:asciiTheme="minorHAnsi" w:hAnsiTheme="minorHAnsi" w:cstheme="minorHAnsi"/>
                <w:sz w:val="18"/>
                <w:szCs w:val="18"/>
              </w:rPr>
              <w:t>Institutional standing</w:t>
            </w:r>
            <w:r w:rsidRPr="00B6443F">
              <w:rPr>
                <w:rFonts w:asciiTheme="minorHAnsi" w:hAnsiTheme="minorHAnsi" w:cstheme="minorHAnsi"/>
                <w:sz w:val="18"/>
                <w:szCs w:val="18"/>
              </w:rPr>
              <w:t xml:space="preserve"> committees facilitate consultation and co-determination between the working parties on matters relating to the working environment (</w:t>
            </w:r>
            <w:hyperlink r:id="rId57" w:history="1">
              <w:r w:rsidRPr="00B6443F">
                <w:rPr>
                  <w:rStyle w:val="Hyperkobling"/>
                  <w:rFonts w:asciiTheme="minorHAnsi" w:hAnsiTheme="minorHAnsi" w:cstheme="minorHAnsi"/>
                  <w:sz w:val="18"/>
                  <w:szCs w:val="18"/>
                </w:rPr>
                <w:t>AMU</w:t>
              </w:r>
            </w:hyperlink>
            <w:r w:rsidRPr="00B6443F">
              <w:rPr>
                <w:rFonts w:asciiTheme="minorHAnsi" w:hAnsiTheme="minorHAnsi" w:cstheme="minorHAnsi"/>
                <w:sz w:val="18"/>
                <w:szCs w:val="18"/>
              </w:rPr>
              <w:t xml:space="preserve">) and </w:t>
            </w:r>
            <w:r w:rsidR="00612657">
              <w:rPr>
                <w:rFonts w:asciiTheme="minorHAnsi" w:hAnsiTheme="minorHAnsi" w:cstheme="minorHAnsi"/>
                <w:sz w:val="18"/>
                <w:szCs w:val="18"/>
              </w:rPr>
              <w:t>organizational</w:t>
            </w:r>
            <w:r w:rsidRPr="00B6443F">
              <w:rPr>
                <w:rFonts w:asciiTheme="minorHAnsi" w:hAnsiTheme="minorHAnsi" w:cstheme="minorHAnsi"/>
                <w:sz w:val="18"/>
                <w:szCs w:val="18"/>
              </w:rPr>
              <w:t xml:space="preserve"> development (</w:t>
            </w:r>
            <w:hyperlink r:id="rId58" w:history="1">
              <w:r w:rsidRPr="00B6443F">
                <w:rPr>
                  <w:rStyle w:val="Hyperkobling"/>
                  <w:rFonts w:asciiTheme="minorHAnsi" w:hAnsiTheme="minorHAnsi" w:cstheme="minorHAnsi"/>
                  <w:sz w:val="18"/>
                  <w:szCs w:val="18"/>
                </w:rPr>
                <w:t>SESAM</w:t>
              </w:r>
            </w:hyperlink>
            <w:r w:rsidRPr="00B6443F">
              <w:rPr>
                <w:rFonts w:asciiTheme="minorHAnsi" w:hAnsiTheme="minorHAnsi" w:cstheme="minorHAnsi"/>
                <w:sz w:val="18"/>
                <w:szCs w:val="18"/>
              </w:rPr>
              <w:t xml:space="preserve">). </w:t>
            </w:r>
          </w:p>
        </w:tc>
        <w:tc>
          <w:tcPr>
            <w:tcW w:w="2607" w:type="dxa"/>
            <w:shd w:val="clear" w:color="auto" w:fill="auto"/>
          </w:tcPr>
          <w:p w:rsidR="004D1C24" w:rsidRPr="00D44518" w:rsidRDefault="004D1C24" w:rsidP="004D1C24">
            <w:pPr>
              <w:spacing w:after="0" w:line="240" w:lineRule="auto"/>
              <w:jc w:val="both"/>
              <w:rPr>
                <w:rFonts w:eastAsia="Times New Roman"/>
                <w:sz w:val="20"/>
                <w:szCs w:val="20"/>
              </w:rPr>
            </w:pPr>
          </w:p>
        </w:tc>
      </w:tr>
      <w:tr w:rsidR="004D1C24" w:rsidRPr="00D44518" w:rsidTr="00947F78">
        <w:tc>
          <w:tcPr>
            <w:tcW w:w="12950" w:type="dxa"/>
            <w:gridSpan w:val="4"/>
            <w:shd w:val="clear" w:color="auto" w:fill="D9D9D9"/>
          </w:tcPr>
          <w:p w:rsidR="004D1C24" w:rsidRPr="00B6443F" w:rsidRDefault="004D1C24" w:rsidP="00B6443F">
            <w:pPr>
              <w:rPr>
                <w:rFonts w:asciiTheme="minorHAnsi" w:eastAsia="Times New Roman" w:hAnsiTheme="minorHAnsi" w:cstheme="minorHAnsi"/>
                <w:b/>
                <w:sz w:val="18"/>
                <w:szCs w:val="18"/>
                <w:lang w:val="nl-BE"/>
              </w:rPr>
            </w:pPr>
            <w:r w:rsidRPr="00B6443F">
              <w:rPr>
                <w:rFonts w:asciiTheme="minorHAnsi" w:eastAsia="Times New Roman" w:hAnsiTheme="minorHAnsi" w:cstheme="minorHAnsi"/>
                <w:b/>
                <w:sz w:val="18"/>
                <w:szCs w:val="18"/>
                <w:lang w:val="nl-BE"/>
              </w:rPr>
              <w:t xml:space="preserve">Training and Development </w:t>
            </w: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lastRenderedPageBreak/>
              <w:t>36. Relation with supervisors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9A493E" w:rsidP="00073664">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Research fellows are admitted to organized researcher education programmes at NTNU. Improving the quality in the PhD education has been a priority the past ten years. In 2011, the NTNU Handbook defined a common quality standard at all Faculties, including recommendations on good procedures from admission to doctoral examination; In addition to annual progress reports, formalized reviews </w:t>
            </w:r>
            <w:proofErr w:type="gramStart"/>
            <w:r w:rsidRPr="00B6443F">
              <w:rPr>
                <w:rFonts w:asciiTheme="minorHAnsi" w:hAnsiTheme="minorHAnsi" w:cstheme="minorHAnsi"/>
                <w:sz w:val="18"/>
                <w:szCs w:val="18"/>
              </w:rPr>
              <w:t>takes</w:t>
            </w:r>
            <w:proofErr w:type="gramEnd"/>
            <w:r w:rsidRPr="00B6443F">
              <w:rPr>
                <w:rFonts w:asciiTheme="minorHAnsi" w:hAnsiTheme="minorHAnsi" w:cstheme="minorHAnsi"/>
                <w:sz w:val="18"/>
                <w:szCs w:val="18"/>
              </w:rPr>
              <w:t xml:space="preserve"> place at admission, mid-term and </w:t>
            </w:r>
            <w:r w:rsidR="00612657">
              <w:rPr>
                <w:rFonts w:asciiTheme="minorHAnsi" w:hAnsiTheme="minorHAnsi" w:cstheme="minorHAnsi"/>
                <w:sz w:val="18"/>
                <w:szCs w:val="18"/>
              </w:rPr>
              <w:t xml:space="preserve">the </w:t>
            </w:r>
            <w:r w:rsidRPr="00B6443F">
              <w:rPr>
                <w:rFonts w:asciiTheme="minorHAnsi" w:hAnsiTheme="minorHAnsi" w:cstheme="minorHAnsi"/>
                <w:sz w:val="18"/>
                <w:szCs w:val="18"/>
              </w:rPr>
              <w:t xml:space="preserve">end of </w:t>
            </w:r>
            <w:r w:rsidR="00073664">
              <w:rPr>
                <w:rFonts w:asciiTheme="minorHAnsi" w:hAnsiTheme="minorHAnsi" w:cstheme="minorHAnsi"/>
                <w:sz w:val="18"/>
                <w:szCs w:val="18"/>
              </w:rPr>
              <w:t xml:space="preserve">the </w:t>
            </w:r>
            <w:r w:rsidRPr="00B6443F">
              <w:rPr>
                <w:rFonts w:asciiTheme="minorHAnsi" w:hAnsiTheme="minorHAnsi" w:cstheme="minorHAnsi"/>
                <w:sz w:val="18"/>
                <w:szCs w:val="18"/>
              </w:rPr>
              <w:t>PhD period. As a quality measure, each candidate has two supervisors who are research active</w:t>
            </w:r>
            <w:r w:rsidR="00073664">
              <w:rPr>
                <w:rFonts w:asciiTheme="minorHAnsi" w:hAnsiTheme="minorHAnsi" w:cstheme="minorHAnsi"/>
                <w:sz w:val="18"/>
                <w:szCs w:val="18"/>
              </w:rPr>
              <w:t>. They</w:t>
            </w:r>
            <w:r w:rsidRPr="00B6443F">
              <w:rPr>
                <w:rFonts w:asciiTheme="minorHAnsi" w:hAnsiTheme="minorHAnsi" w:cstheme="minorHAnsi"/>
                <w:sz w:val="18"/>
                <w:szCs w:val="18"/>
              </w:rPr>
              <w:t xml:space="preserve"> may have an additional non-academic supervisor. See </w:t>
            </w:r>
            <w:hyperlink r:id="rId59" w:history="1">
              <w:r w:rsidRPr="00B6443F">
                <w:rPr>
                  <w:rStyle w:val="Hyperkobling"/>
                  <w:rFonts w:asciiTheme="minorHAnsi" w:hAnsiTheme="minorHAnsi" w:cstheme="minorHAnsi"/>
                  <w:sz w:val="18"/>
                  <w:szCs w:val="18"/>
                </w:rPr>
                <w:t>PHD 1-2-3 for NTNU’s PhD candidates</w:t>
              </w:r>
            </w:hyperlink>
            <w:r w:rsidRPr="00B6443F">
              <w:rPr>
                <w:rFonts w:asciiTheme="minorHAnsi" w:hAnsiTheme="minorHAnsi" w:cstheme="minorHAnsi"/>
                <w:sz w:val="18"/>
                <w:szCs w:val="18"/>
              </w:rPr>
              <w:t xml:space="preserve"> for links to the PhD Handbook, PhD regulations and follow-up procedures.</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37. Supervision and managerial duties</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32056B" w:rsidP="0032056B">
            <w:pPr>
              <w:rPr>
                <w:rFonts w:asciiTheme="minorHAnsi" w:eastAsia="Times New Roman" w:hAnsiTheme="minorHAnsi" w:cstheme="minorHAnsi"/>
                <w:sz w:val="18"/>
                <w:szCs w:val="18"/>
                <w:lang w:val="nl-BE"/>
              </w:rPr>
            </w:pPr>
            <w:r>
              <w:rPr>
                <w:rFonts w:asciiTheme="minorHAnsi" w:hAnsiTheme="minorHAnsi" w:cstheme="minorHAnsi"/>
                <w:sz w:val="18"/>
                <w:szCs w:val="18"/>
              </w:rPr>
              <w:t>G</w:t>
            </w:r>
            <w:r w:rsidR="009A493E" w:rsidRPr="00B6443F">
              <w:rPr>
                <w:rFonts w:asciiTheme="minorHAnsi" w:hAnsiTheme="minorHAnsi" w:cstheme="minorHAnsi"/>
                <w:sz w:val="18"/>
                <w:szCs w:val="18"/>
              </w:rPr>
              <w:t xml:space="preserve">ood </w:t>
            </w:r>
            <w:hyperlink r:id="rId60" w:history="1">
              <w:r w:rsidR="009A493E" w:rsidRPr="00B6443F">
                <w:rPr>
                  <w:rStyle w:val="Hyperkobling"/>
                  <w:rFonts w:asciiTheme="minorHAnsi" w:hAnsiTheme="minorHAnsi" w:cstheme="minorHAnsi"/>
                  <w:sz w:val="18"/>
                  <w:szCs w:val="18"/>
                </w:rPr>
                <w:t>quality in supervision</w:t>
              </w:r>
            </w:hyperlink>
            <w:r>
              <w:rPr>
                <w:rFonts w:asciiTheme="minorHAnsi" w:hAnsiTheme="minorHAnsi" w:cstheme="minorHAnsi"/>
                <w:sz w:val="18"/>
                <w:szCs w:val="18"/>
              </w:rPr>
              <w:t xml:space="preserve"> is essential for the quality in the PhD education; t</w:t>
            </w:r>
            <w:r w:rsidR="009A493E" w:rsidRPr="00B6443F">
              <w:rPr>
                <w:rFonts w:asciiTheme="minorHAnsi" w:hAnsiTheme="minorHAnsi" w:cstheme="minorHAnsi"/>
                <w:sz w:val="18"/>
                <w:szCs w:val="18"/>
              </w:rPr>
              <w:t xml:space="preserve">raining </w:t>
            </w:r>
            <w:r>
              <w:rPr>
                <w:rFonts w:asciiTheme="minorHAnsi" w:hAnsiTheme="minorHAnsi" w:cstheme="minorHAnsi"/>
                <w:sz w:val="18"/>
                <w:szCs w:val="18"/>
              </w:rPr>
              <w:t>courses for</w:t>
            </w:r>
            <w:r w:rsidR="009A493E" w:rsidRPr="00B6443F">
              <w:rPr>
                <w:rFonts w:asciiTheme="minorHAnsi" w:hAnsiTheme="minorHAnsi" w:cstheme="minorHAnsi"/>
                <w:sz w:val="18"/>
                <w:szCs w:val="18"/>
              </w:rPr>
              <w:t xml:space="preserve"> supervisors is offered. Career development is to be included in the annual appraisal interviews</w:t>
            </w:r>
            <w:r>
              <w:rPr>
                <w:rFonts w:asciiTheme="minorHAnsi" w:hAnsiTheme="minorHAnsi" w:cstheme="minorHAnsi"/>
                <w:sz w:val="18"/>
                <w:szCs w:val="18"/>
              </w:rPr>
              <w:t xml:space="preserve"> (</w:t>
            </w:r>
            <w:hyperlink r:id="rId61" w:history="1">
              <w:r>
                <w:rPr>
                  <w:rStyle w:val="Hyperkobling"/>
                  <w:rFonts w:asciiTheme="minorHAnsi" w:hAnsiTheme="minorHAnsi" w:cstheme="minorHAnsi"/>
                  <w:sz w:val="18"/>
                  <w:szCs w:val="18"/>
                </w:rPr>
                <w:t>g</w:t>
              </w:r>
              <w:r w:rsidR="009A493E" w:rsidRPr="00B6443F">
                <w:rPr>
                  <w:rStyle w:val="Hyperkobling"/>
                  <w:rFonts w:asciiTheme="minorHAnsi" w:hAnsiTheme="minorHAnsi" w:cstheme="minorHAnsi"/>
                  <w:sz w:val="18"/>
                  <w:szCs w:val="18"/>
                </w:rPr>
                <w:t>uidelines</w:t>
              </w:r>
            </w:hyperlink>
            <w:r w:rsidR="009A493E" w:rsidRPr="00B6443F">
              <w:rPr>
                <w:rFonts w:asciiTheme="minorHAnsi" w:hAnsiTheme="minorHAnsi" w:cstheme="minorHAnsi"/>
                <w:sz w:val="18"/>
                <w:szCs w:val="18"/>
              </w:rPr>
              <w:t xml:space="preserve"> are available</w:t>
            </w:r>
            <w:r>
              <w:rPr>
                <w:rFonts w:asciiTheme="minorHAnsi" w:hAnsiTheme="minorHAnsi" w:cstheme="minorHAnsi"/>
                <w:sz w:val="18"/>
                <w:szCs w:val="18"/>
              </w:rPr>
              <w:t>)</w:t>
            </w:r>
            <w:r w:rsidR="009A493E" w:rsidRPr="00B6443F">
              <w:rPr>
                <w:rFonts w:asciiTheme="minorHAnsi" w:hAnsiTheme="minorHAnsi" w:cstheme="minorHAnsi"/>
                <w:sz w:val="18"/>
                <w:szCs w:val="18"/>
              </w:rPr>
              <w:t>.</w:t>
            </w:r>
            <w:r>
              <w:rPr>
                <w:rFonts w:asciiTheme="minorHAnsi" w:hAnsiTheme="minorHAnsi" w:cstheme="minorHAnsi"/>
                <w:sz w:val="18"/>
                <w:szCs w:val="18"/>
              </w:rPr>
              <w:t xml:space="preserve"> In</w:t>
            </w:r>
            <w:r w:rsidR="00073664" w:rsidRPr="00B6443F">
              <w:rPr>
                <w:rFonts w:asciiTheme="minorHAnsi" w:hAnsiTheme="minorHAnsi" w:cstheme="minorHAnsi"/>
                <w:sz w:val="18"/>
                <w:szCs w:val="18"/>
              </w:rPr>
              <w:t xml:space="preserve"> NTNUs management development programmes such as the programme for leaders of research groups</w:t>
            </w:r>
            <w:r>
              <w:rPr>
                <w:rFonts w:asciiTheme="minorHAnsi" w:hAnsiTheme="minorHAnsi" w:cstheme="minorHAnsi"/>
                <w:sz w:val="18"/>
                <w:szCs w:val="18"/>
              </w:rPr>
              <w:t>, t</w:t>
            </w:r>
            <w:r w:rsidR="009A493E" w:rsidRPr="00B6443F">
              <w:rPr>
                <w:rFonts w:asciiTheme="minorHAnsi" w:hAnsiTheme="minorHAnsi" w:cstheme="minorHAnsi"/>
                <w:sz w:val="18"/>
                <w:szCs w:val="18"/>
              </w:rPr>
              <w:t>he significance of academic leadership for the career development of researchers is recognized.</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38. Continuing Professional Development</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9A493E" w:rsidP="0032056B">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Academic staff either have their own funds or may apply for funding to attend conferences and participate in the international research community. NTNU has excellent </w:t>
            </w:r>
            <w:hyperlink r:id="rId62" w:history="1">
              <w:r w:rsidRPr="00B6443F">
                <w:rPr>
                  <w:rStyle w:val="Hyperkobling"/>
                  <w:rFonts w:asciiTheme="minorHAnsi" w:hAnsiTheme="minorHAnsi" w:cstheme="minorHAnsi"/>
                  <w:sz w:val="18"/>
                  <w:szCs w:val="18"/>
                </w:rPr>
                <w:t>library facilities</w:t>
              </w:r>
            </w:hyperlink>
            <w:r w:rsidRPr="00B6443F">
              <w:rPr>
                <w:rFonts w:asciiTheme="minorHAnsi" w:hAnsiTheme="minorHAnsi" w:cstheme="minorHAnsi"/>
                <w:sz w:val="18"/>
                <w:szCs w:val="18"/>
              </w:rPr>
              <w:t xml:space="preserve"> with online journals</w:t>
            </w:r>
            <w:r w:rsidR="0032056B">
              <w:rPr>
                <w:rFonts w:asciiTheme="minorHAnsi" w:hAnsiTheme="minorHAnsi" w:cstheme="minorHAnsi"/>
                <w:sz w:val="18"/>
                <w:szCs w:val="18"/>
              </w:rPr>
              <w:t>. Several</w:t>
            </w:r>
            <w:r w:rsidRPr="00B6443F">
              <w:rPr>
                <w:rFonts w:asciiTheme="minorHAnsi" w:hAnsiTheme="minorHAnsi" w:cstheme="minorHAnsi"/>
                <w:sz w:val="18"/>
                <w:szCs w:val="18"/>
              </w:rPr>
              <w:t xml:space="preserve"> competence development </w:t>
            </w:r>
            <w:hyperlink r:id="rId63" w:history="1">
              <w:r w:rsidRPr="00B6443F">
                <w:rPr>
                  <w:rStyle w:val="Hyperkobling"/>
                  <w:rFonts w:asciiTheme="minorHAnsi" w:hAnsiTheme="minorHAnsi" w:cstheme="minorHAnsi"/>
                  <w:sz w:val="18"/>
                  <w:szCs w:val="18"/>
                </w:rPr>
                <w:t>courses</w:t>
              </w:r>
            </w:hyperlink>
            <w:r w:rsidRPr="00B6443F">
              <w:rPr>
                <w:rFonts w:asciiTheme="minorHAnsi" w:hAnsiTheme="minorHAnsi" w:cstheme="minorHAnsi"/>
                <w:sz w:val="18"/>
                <w:szCs w:val="18"/>
              </w:rPr>
              <w:t xml:space="preserve"> </w:t>
            </w:r>
            <w:r w:rsidR="0032056B">
              <w:rPr>
                <w:rFonts w:asciiTheme="minorHAnsi" w:hAnsiTheme="minorHAnsi" w:cstheme="minorHAnsi"/>
                <w:sz w:val="18"/>
                <w:szCs w:val="18"/>
              </w:rPr>
              <w:t xml:space="preserve">offered at institutional level are </w:t>
            </w:r>
            <w:r w:rsidRPr="00B6443F">
              <w:rPr>
                <w:rFonts w:asciiTheme="minorHAnsi" w:hAnsiTheme="minorHAnsi" w:cstheme="minorHAnsi"/>
                <w:sz w:val="18"/>
                <w:szCs w:val="18"/>
              </w:rPr>
              <w:t>relevant to academic staff. Temporary reductions in teaching loads can be granted for the purpose of career development (qualification for promotion), or due to heavy management responsibilities (research, education, institutional roles).</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rPr>
            </w:pPr>
            <w:r w:rsidRPr="00D44518">
              <w:rPr>
                <w:rFonts w:eastAsia="Times New Roman"/>
                <w:sz w:val="20"/>
                <w:szCs w:val="20"/>
              </w:rPr>
              <w:t>39. Access to research training and continuous development</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9A493E" w:rsidP="00B6443F">
            <w:pPr>
              <w:rPr>
                <w:rFonts w:asciiTheme="minorHAnsi" w:eastAsia="Times New Roman" w:hAnsiTheme="minorHAnsi" w:cstheme="minorHAnsi"/>
                <w:sz w:val="18"/>
                <w:szCs w:val="18"/>
              </w:rPr>
            </w:pPr>
            <w:r w:rsidRPr="00B6443F">
              <w:rPr>
                <w:rFonts w:asciiTheme="minorHAnsi" w:hAnsiTheme="minorHAnsi" w:cstheme="minorHAnsi"/>
                <w:sz w:val="18"/>
                <w:szCs w:val="18"/>
              </w:rPr>
              <w:t xml:space="preserve">See principle 38. </w:t>
            </w:r>
            <w:r w:rsidR="007959DF">
              <w:rPr>
                <w:rFonts w:asciiTheme="minorHAnsi" w:hAnsiTheme="minorHAnsi" w:cstheme="minorHAnsi"/>
                <w:sz w:val="18"/>
                <w:szCs w:val="18"/>
              </w:rPr>
              <w:br/>
            </w:r>
            <w:r w:rsidRPr="00B6443F">
              <w:rPr>
                <w:rFonts w:asciiTheme="minorHAnsi" w:hAnsiTheme="minorHAnsi" w:cstheme="minorHAnsi"/>
                <w:sz w:val="18"/>
                <w:szCs w:val="18"/>
              </w:rPr>
              <w:t>NTNU competence development courses, and academic qualifications programmes are evaluated by participants.</w:t>
            </w:r>
          </w:p>
        </w:tc>
        <w:tc>
          <w:tcPr>
            <w:tcW w:w="2607" w:type="dxa"/>
            <w:shd w:val="clear" w:color="auto" w:fill="auto"/>
          </w:tcPr>
          <w:p w:rsidR="004D1C24" w:rsidRPr="00D44518" w:rsidRDefault="004D1C24" w:rsidP="004D1C24">
            <w:pPr>
              <w:spacing w:after="0" w:line="240" w:lineRule="auto"/>
              <w:jc w:val="both"/>
              <w:rPr>
                <w:rFonts w:eastAsia="Times New Roman"/>
                <w:sz w:val="20"/>
                <w:szCs w:val="20"/>
              </w:rPr>
            </w:pPr>
          </w:p>
        </w:tc>
      </w:tr>
      <w:tr w:rsidR="004D1C24" w:rsidRPr="00D44518" w:rsidTr="0005401C">
        <w:tc>
          <w:tcPr>
            <w:tcW w:w="2882" w:type="dxa"/>
            <w:shd w:val="clear" w:color="auto" w:fill="auto"/>
          </w:tcPr>
          <w:p w:rsidR="004D1C24" w:rsidRPr="00D44518" w:rsidRDefault="004D1C24" w:rsidP="004D1C24">
            <w:pPr>
              <w:spacing w:after="0" w:line="240" w:lineRule="auto"/>
              <w:jc w:val="both"/>
              <w:rPr>
                <w:rFonts w:eastAsia="Times New Roman"/>
                <w:sz w:val="20"/>
                <w:szCs w:val="20"/>
                <w:lang w:val="nl-BE"/>
              </w:rPr>
            </w:pPr>
            <w:r w:rsidRPr="00D44518">
              <w:rPr>
                <w:rFonts w:eastAsia="Times New Roman"/>
                <w:sz w:val="20"/>
                <w:szCs w:val="20"/>
                <w:lang w:val="nl-BE"/>
              </w:rPr>
              <w:t>40. Supervision</w:t>
            </w:r>
          </w:p>
        </w:tc>
        <w:tc>
          <w:tcPr>
            <w:tcW w:w="1791" w:type="dxa"/>
            <w:shd w:val="clear" w:color="auto" w:fill="auto"/>
          </w:tcPr>
          <w:p w:rsidR="004D1C24" w:rsidRPr="00D44518" w:rsidRDefault="004D1C24" w:rsidP="004D1C24">
            <w:pPr>
              <w:spacing w:after="0" w:line="240" w:lineRule="auto"/>
              <w:rPr>
                <w:rFonts w:eastAsia="Times New Roman"/>
                <w:sz w:val="20"/>
                <w:szCs w:val="20"/>
                <w:lang w:val="nl-BE"/>
              </w:rPr>
            </w:pPr>
            <w:r w:rsidRPr="00947F78">
              <w:rPr>
                <w:rFonts w:eastAsia="Times New Roman"/>
                <w:sz w:val="18"/>
                <w:szCs w:val="20"/>
                <w:lang w:val="nl-BE"/>
              </w:rPr>
              <w:t xml:space="preserve">++ </w:t>
            </w:r>
            <w:proofErr w:type="spellStart"/>
            <w:r w:rsidRPr="00947F78">
              <w:rPr>
                <w:rFonts w:eastAsia="Times New Roman"/>
                <w:sz w:val="18"/>
                <w:szCs w:val="20"/>
                <w:lang w:val="nl-BE"/>
              </w:rPr>
              <w:t>fully</w:t>
            </w:r>
            <w:proofErr w:type="spellEnd"/>
            <w:r w:rsidRPr="00947F78">
              <w:rPr>
                <w:rFonts w:eastAsia="Times New Roman"/>
                <w:sz w:val="18"/>
                <w:szCs w:val="20"/>
                <w:lang w:val="nl-BE"/>
              </w:rPr>
              <w:t xml:space="preserve"> </w:t>
            </w:r>
            <w:proofErr w:type="spellStart"/>
            <w:r w:rsidRPr="00947F78">
              <w:rPr>
                <w:rFonts w:eastAsia="Times New Roman"/>
                <w:sz w:val="18"/>
                <w:szCs w:val="20"/>
                <w:lang w:val="nl-BE"/>
              </w:rPr>
              <w:t>implemented</w:t>
            </w:r>
            <w:proofErr w:type="spellEnd"/>
          </w:p>
        </w:tc>
        <w:tc>
          <w:tcPr>
            <w:tcW w:w="5670" w:type="dxa"/>
            <w:shd w:val="clear" w:color="auto" w:fill="auto"/>
          </w:tcPr>
          <w:p w:rsidR="004D1C24" w:rsidRPr="00B6443F" w:rsidRDefault="009A493E" w:rsidP="00B6443F">
            <w:pPr>
              <w:rPr>
                <w:rFonts w:asciiTheme="minorHAnsi" w:eastAsia="Times New Roman" w:hAnsiTheme="minorHAnsi" w:cstheme="minorHAnsi"/>
                <w:sz w:val="18"/>
                <w:szCs w:val="18"/>
                <w:lang w:val="nl-BE"/>
              </w:rPr>
            </w:pPr>
            <w:r w:rsidRPr="00B6443F">
              <w:rPr>
                <w:rFonts w:asciiTheme="minorHAnsi" w:hAnsiTheme="minorHAnsi" w:cstheme="minorHAnsi"/>
                <w:sz w:val="18"/>
                <w:szCs w:val="18"/>
              </w:rPr>
              <w:t xml:space="preserve">See Principle 36 and 37 about organized PhD education, supervision, progress reports and review procedures. </w:t>
            </w:r>
            <w:r w:rsidRPr="00B6443F">
              <w:rPr>
                <w:rFonts w:asciiTheme="minorHAnsi" w:hAnsiTheme="minorHAnsi" w:cstheme="minorHAnsi"/>
                <w:sz w:val="18"/>
                <w:szCs w:val="18"/>
              </w:rPr>
              <w:br/>
              <w:t xml:space="preserve">Postdocs have an appointed academic adviser to follow-up progress.  </w:t>
            </w:r>
          </w:p>
        </w:tc>
        <w:tc>
          <w:tcPr>
            <w:tcW w:w="2607" w:type="dxa"/>
            <w:shd w:val="clear" w:color="auto" w:fill="auto"/>
          </w:tcPr>
          <w:p w:rsidR="004D1C24" w:rsidRPr="00D44518" w:rsidRDefault="004D1C24" w:rsidP="004D1C24">
            <w:pPr>
              <w:spacing w:after="0" w:line="240" w:lineRule="auto"/>
              <w:jc w:val="both"/>
              <w:rPr>
                <w:rFonts w:eastAsia="Times New Roman"/>
                <w:sz w:val="20"/>
                <w:szCs w:val="20"/>
                <w:lang w:val="nl-BE"/>
              </w:rPr>
            </w:pPr>
          </w:p>
        </w:tc>
      </w:tr>
    </w:tbl>
    <w:p w:rsidR="005537C4" w:rsidRDefault="00BD7B8F"/>
    <w:sectPr w:rsidR="005537C4" w:rsidSect="00772D8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63" w:rsidRDefault="009B0C63">
      <w:pPr>
        <w:spacing w:after="0" w:line="240" w:lineRule="auto"/>
      </w:pPr>
      <w:r>
        <w:separator/>
      </w:r>
    </w:p>
  </w:endnote>
  <w:endnote w:type="continuationSeparator" w:id="0">
    <w:p w:rsidR="009B0C63" w:rsidRDefault="009B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58" w:rsidRDefault="00772D8C" w:rsidP="00E96216">
    <w:pPr>
      <w:pStyle w:val="Bunntekst"/>
      <w:jc w:val="center"/>
    </w:pPr>
    <w:r>
      <w:fldChar w:fldCharType="begin"/>
    </w:r>
    <w:r>
      <w:instrText xml:space="preserve"> PAGE   \* MERGEFORMAT </w:instrText>
    </w:r>
    <w:r>
      <w:fldChar w:fldCharType="separate"/>
    </w:r>
    <w:r w:rsidR="00BD7B8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63" w:rsidRDefault="009B0C63">
      <w:pPr>
        <w:spacing w:after="0" w:line="240" w:lineRule="auto"/>
      </w:pPr>
      <w:r>
        <w:separator/>
      </w:r>
    </w:p>
  </w:footnote>
  <w:footnote w:type="continuationSeparator" w:id="0">
    <w:p w:rsidR="009B0C63" w:rsidRDefault="009B0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00FC4"/>
    <w:multiLevelType w:val="hybridMultilevel"/>
    <w:tmpl w:val="83C81B86"/>
    <w:lvl w:ilvl="0" w:tplc="31120D38">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0979A7"/>
    <w:multiLevelType w:val="hybridMultilevel"/>
    <w:tmpl w:val="9FE6E0A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D7637BA"/>
    <w:multiLevelType w:val="hybridMultilevel"/>
    <w:tmpl w:val="2542B5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7FA52971"/>
    <w:multiLevelType w:val="hybridMultilevel"/>
    <w:tmpl w:val="8A64C1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8C"/>
    <w:rsid w:val="00012F75"/>
    <w:rsid w:val="0001659F"/>
    <w:rsid w:val="00041156"/>
    <w:rsid w:val="0005401C"/>
    <w:rsid w:val="0005642B"/>
    <w:rsid w:val="00073664"/>
    <w:rsid w:val="00091FCB"/>
    <w:rsid w:val="000A2B19"/>
    <w:rsid w:val="000A51C3"/>
    <w:rsid w:val="000C27A5"/>
    <w:rsid w:val="000E3E9E"/>
    <w:rsid w:val="00121337"/>
    <w:rsid w:val="00165CBE"/>
    <w:rsid w:val="00187768"/>
    <w:rsid w:val="00194FBB"/>
    <w:rsid w:val="001A278D"/>
    <w:rsid w:val="001B1287"/>
    <w:rsid w:val="001C210D"/>
    <w:rsid w:val="00214BF5"/>
    <w:rsid w:val="002613EB"/>
    <w:rsid w:val="00264907"/>
    <w:rsid w:val="002A5DA2"/>
    <w:rsid w:val="002B3E21"/>
    <w:rsid w:val="003052EA"/>
    <w:rsid w:val="00310C74"/>
    <w:rsid w:val="0032056B"/>
    <w:rsid w:val="0032789A"/>
    <w:rsid w:val="00380CEA"/>
    <w:rsid w:val="003F1EF5"/>
    <w:rsid w:val="00416AD9"/>
    <w:rsid w:val="00426432"/>
    <w:rsid w:val="00431B26"/>
    <w:rsid w:val="0048527C"/>
    <w:rsid w:val="004D0792"/>
    <w:rsid w:val="004D1C24"/>
    <w:rsid w:val="005521C0"/>
    <w:rsid w:val="00562A2E"/>
    <w:rsid w:val="005968AE"/>
    <w:rsid w:val="005F70E1"/>
    <w:rsid w:val="00610F09"/>
    <w:rsid w:val="00612657"/>
    <w:rsid w:val="006658EC"/>
    <w:rsid w:val="00676446"/>
    <w:rsid w:val="006D4437"/>
    <w:rsid w:val="00707CB3"/>
    <w:rsid w:val="00717279"/>
    <w:rsid w:val="00731249"/>
    <w:rsid w:val="00772D8C"/>
    <w:rsid w:val="00773645"/>
    <w:rsid w:val="007959DF"/>
    <w:rsid w:val="007B6492"/>
    <w:rsid w:val="00851FE0"/>
    <w:rsid w:val="00861467"/>
    <w:rsid w:val="0087266E"/>
    <w:rsid w:val="00872BFC"/>
    <w:rsid w:val="008B07DB"/>
    <w:rsid w:val="008F54CA"/>
    <w:rsid w:val="008F6E62"/>
    <w:rsid w:val="00930F65"/>
    <w:rsid w:val="009404A1"/>
    <w:rsid w:val="00947F78"/>
    <w:rsid w:val="00971ECB"/>
    <w:rsid w:val="009767FA"/>
    <w:rsid w:val="009A39F7"/>
    <w:rsid w:val="009A493E"/>
    <w:rsid w:val="009B0C63"/>
    <w:rsid w:val="009C692F"/>
    <w:rsid w:val="00A02283"/>
    <w:rsid w:val="00A43FB5"/>
    <w:rsid w:val="00AE03C7"/>
    <w:rsid w:val="00B27920"/>
    <w:rsid w:val="00B33A9F"/>
    <w:rsid w:val="00B6443F"/>
    <w:rsid w:val="00B818F1"/>
    <w:rsid w:val="00BD4D91"/>
    <w:rsid w:val="00BD7B8F"/>
    <w:rsid w:val="00C00D82"/>
    <w:rsid w:val="00C159F7"/>
    <w:rsid w:val="00CC0751"/>
    <w:rsid w:val="00CE69C3"/>
    <w:rsid w:val="00CF5D52"/>
    <w:rsid w:val="00D34785"/>
    <w:rsid w:val="00D50F9A"/>
    <w:rsid w:val="00D82A62"/>
    <w:rsid w:val="00D91289"/>
    <w:rsid w:val="00DA1A02"/>
    <w:rsid w:val="00DB3F60"/>
    <w:rsid w:val="00E13CB2"/>
    <w:rsid w:val="00E177F1"/>
    <w:rsid w:val="00E43588"/>
    <w:rsid w:val="00EA12FF"/>
    <w:rsid w:val="00EA1E88"/>
    <w:rsid w:val="00EA3C6F"/>
    <w:rsid w:val="00EF47C8"/>
    <w:rsid w:val="00F64305"/>
    <w:rsid w:val="00F64462"/>
    <w:rsid w:val="00F646A2"/>
    <w:rsid w:val="00F73685"/>
    <w:rsid w:val="00FB5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AEE6"/>
  <w15:chartTrackingRefBased/>
  <w15:docId w15:val="{0C3D8354-803C-4E42-9654-5193B229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8C"/>
    <w:rPr>
      <w:rFonts w:ascii="Calibri" w:eastAsia="Calibri" w:hAnsi="Calibri" w:cs="Times New Roman"/>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772D8C"/>
    <w:pPr>
      <w:tabs>
        <w:tab w:val="center" w:pos="4536"/>
        <w:tab w:val="right" w:pos="9072"/>
      </w:tabs>
    </w:pPr>
  </w:style>
  <w:style w:type="character" w:customStyle="1" w:styleId="BunntekstTegn">
    <w:name w:val="Bunntekst Tegn"/>
    <w:basedOn w:val="Standardskriftforavsnitt"/>
    <w:link w:val="Bunntekst"/>
    <w:uiPriority w:val="99"/>
    <w:rsid w:val="00772D8C"/>
    <w:rPr>
      <w:rFonts w:ascii="Calibri" w:eastAsia="Calibri" w:hAnsi="Calibri" w:cs="Times New Roman"/>
      <w:lang w:val="en-GB"/>
    </w:rPr>
  </w:style>
  <w:style w:type="paragraph" w:styleId="Listeavsnitt">
    <w:name w:val="List Paragraph"/>
    <w:basedOn w:val="Normal"/>
    <w:uiPriority w:val="34"/>
    <w:qFormat/>
    <w:rsid w:val="00731249"/>
    <w:pPr>
      <w:ind w:left="720"/>
      <w:contextualSpacing/>
    </w:pPr>
  </w:style>
  <w:style w:type="character" w:styleId="Hyperkobling">
    <w:name w:val="Hyperlink"/>
    <w:basedOn w:val="Standardskriftforavsnitt"/>
    <w:uiPriority w:val="99"/>
    <w:unhideWhenUsed/>
    <w:rsid w:val="00947F78"/>
    <w:rPr>
      <w:color w:val="0000FF" w:themeColor="hyperlink"/>
      <w:u w:val="single"/>
    </w:rPr>
  </w:style>
  <w:style w:type="character" w:styleId="Utheving">
    <w:name w:val="Emphasis"/>
    <w:uiPriority w:val="20"/>
    <w:qFormat/>
    <w:rsid w:val="00D91289"/>
    <w:rPr>
      <w:i/>
      <w:iCs/>
    </w:rPr>
  </w:style>
  <w:style w:type="character" w:styleId="Fulgthyperkobling">
    <w:name w:val="FollowedHyperlink"/>
    <w:basedOn w:val="Standardskriftforavsnitt"/>
    <w:uiPriority w:val="99"/>
    <w:semiHidden/>
    <w:unhideWhenUsed/>
    <w:rsid w:val="00D91289"/>
    <w:rPr>
      <w:color w:val="800080" w:themeColor="followedHyperlink"/>
      <w:u w:val="single"/>
    </w:rPr>
  </w:style>
  <w:style w:type="paragraph" w:customStyle="1" w:styleId="Default">
    <w:name w:val="Default"/>
    <w:rsid w:val="00D91289"/>
    <w:pPr>
      <w:autoSpaceDE w:val="0"/>
      <w:autoSpaceDN w:val="0"/>
      <w:adjustRightInd w:val="0"/>
      <w:spacing w:after="0" w:line="240" w:lineRule="auto"/>
    </w:pPr>
    <w:rPr>
      <w:rFonts w:ascii="Arial" w:eastAsia="Times New Roman" w:hAnsi="Arial" w:cs="Arial"/>
      <w:color w:val="000000"/>
      <w:sz w:val="24"/>
      <w:szCs w:val="24"/>
      <w:lang w:val="nb-NO" w:eastAsia="nb-NO"/>
    </w:rPr>
  </w:style>
  <w:style w:type="paragraph" w:styleId="Topptekst">
    <w:name w:val="header"/>
    <w:basedOn w:val="Normal"/>
    <w:link w:val="TopptekstTegn"/>
    <w:rsid w:val="00380CEA"/>
    <w:pPr>
      <w:tabs>
        <w:tab w:val="center" w:pos="4536"/>
        <w:tab w:val="right" w:pos="9072"/>
      </w:tabs>
      <w:spacing w:after="0" w:line="240" w:lineRule="auto"/>
    </w:pPr>
    <w:rPr>
      <w:rFonts w:ascii="Times New Roman" w:eastAsia="Times New Roman" w:hAnsi="Times New Roman"/>
      <w:sz w:val="24"/>
      <w:szCs w:val="24"/>
      <w:lang w:val="nb-NO" w:eastAsia="nb-NO"/>
    </w:rPr>
  </w:style>
  <w:style w:type="character" w:customStyle="1" w:styleId="TopptekstTegn">
    <w:name w:val="Topptekst Tegn"/>
    <w:basedOn w:val="Standardskriftforavsnitt"/>
    <w:link w:val="Topptekst"/>
    <w:rsid w:val="00380CEA"/>
    <w:rPr>
      <w:rFonts w:ascii="Times New Roman" w:eastAsia="Times New Roman" w:hAnsi="Times New Roman" w:cs="Times New Roman"/>
      <w:sz w:val="24"/>
      <w:szCs w:val="24"/>
      <w:lang w:val="nb-NO" w:eastAsia="nb-NO"/>
    </w:rPr>
  </w:style>
  <w:style w:type="paragraph" w:styleId="Bobletekst">
    <w:name w:val="Balloon Text"/>
    <w:basedOn w:val="Normal"/>
    <w:link w:val="BobletekstTegn"/>
    <w:uiPriority w:val="99"/>
    <w:semiHidden/>
    <w:unhideWhenUsed/>
    <w:rsid w:val="00D82A6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82A62"/>
    <w:rPr>
      <w:rFonts w:ascii="Segoe UI" w:eastAsia="Calibri" w:hAnsi="Segoe UI" w:cs="Segoe UI"/>
      <w:sz w:val="18"/>
      <w:szCs w:val="18"/>
      <w:lang w:val="en-GB"/>
    </w:rPr>
  </w:style>
  <w:style w:type="paragraph" w:styleId="Ingenmellomrom">
    <w:name w:val="No Spacing"/>
    <w:uiPriority w:val="1"/>
    <w:qFormat/>
    <w:rsid w:val="00C00D82"/>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9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nu.edu/strategy-2018-2025" TargetMode="External"/><Relationship Id="rId18" Type="http://schemas.openxmlformats.org/officeDocument/2006/relationships/hyperlink" Target="https://innsida.ntnu.no/kommersialisering" TargetMode="External"/><Relationship Id="rId26" Type="http://schemas.openxmlformats.org/officeDocument/2006/relationships/hyperlink" Target="https://innsida.ntnu.no/wiki/-/wiki/English/Human+resources+policy+for+NTNU" TargetMode="External"/><Relationship Id="rId39" Type="http://schemas.openxmlformats.org/officeDocument/2006/relationships/hyperlink" Target="https://www.ntnu.edu/nirs" TargetMode="External"/><Relationship Id="rId21" Type="http://schemas.openxmlformats.org/officeDocument/2006/relationships/hyperlink" Target="https://innsida.ntnu.no/formidling" TargetMode="External"/><Relationship Id="rId34" Type="http://schemas.openxmlformats.org/officeDocument/2006/relationships/hyperlink" Target="https://www.ntnu.edu/research" TargetMode="External"/><Relationship Id="rId42" Type="http://schemas.openxmlformats.org/officeDocument/2006/relationships/hyperlink" Target="https://innsida.ntnu.no/wiki/-/wiki/English/Human+resources+policy+for+NTNU" TargetMode="External"/><Relationship Id="rId47" Type="http://schemas.openxmlformats.org/officeDocument/2006/relationships/hyperlink" Target="https://www.ntnu.edu/alumni/phd-conferences" TargetMode="External"/><Relationship Id="rId50" Type="http://schemas.openxmlformats.org/officeDocument/2006/relationships/hyperlink" Target="https://innsida.ntnu.no/wiki/-/wiki/English/Code+of+ethics+for+employees+at+NTNU" TargetMode="External"/><Relationship Id="rId55" Type="http://schemas.openxmlformats.org/officeDocument/2006/relationships/hyperlink" Target="https://www.ntnu.edu/teaching-excellence" TargetMode="External"/><Relationship Id="rId63" Type="http://schemas.openxmlformats.org/officeDocument/2006/relationships/hyperlink" Target="https://innsida.ntnu.no/kurs" TargetMode="External"/><Relationship Id="rId7" Type="http://schemas.openxmlformats.org/officeDocument/2006/relationships/hyperlink" Target="mailto:kristin.brekke@ntnu.no" TargetMode="External"/><Relationship Id="rId2" Type="http://schemas.openxmlformats.org/officeDocument/2006/relationships/styles" Target="styles.xml"/><Relationship Id="rId16" Type="http://schemas.openxmlformats.org/officeDocument/2006/relationships/hyperlink" Target="https://innsida.ntnu.no/wiki/-/wiki/English/Information+safety" TargetMode="External"/><Relationship Id="rId20" Type="http://schemas.openxmlformats.org/officeDocument/2006/relationships/hyperlink" Target="https://ntnudiscovery.no/en/startpage/" TargetMode="External"/><Relationship Id="rId29" Type="http://schemas.openxmlformats.org/officeDocument/2006/relationships/hyperlink" Target="https://innsida.ntnu.no/wiki/-/wiki/English/Human+resources+policy+for+NTNU" TargetMode="External"/><Relationship Id="rId41" Type="http://schemas.openxmlformats.org/officeDocument/2006/relationships/hyperlink" Target="https://innsida.ntnu.no/wiki/-/wiki/English/Policy+for+Gender+Equality+and+Diversity+2018-2021" TargetMode="External"/><Relationship Id="rId54" Type="http://schemas.openxmlformats.org/officeDocument/2006/relationships/hyperlink" Target="https://www.ntnu.no/drive" TargetMode="External"/><Relationship Id="rId62" Type="http://schemas.openxmlformats.org/officeDocument/2006/relationships/hyperlink" Target="https://www.ntnu.edu/u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sida.ntnu.no/wiki/-/wiki/English/The+Research+Ethics+Committee" TargetMode="External"/><Relationship Id="rId24" Type="http://schemas.openxmlformats.org/officeDocument/2006/relationships/hyperlink" Target="https://innsida.ntnu.no/wiki/-/wiki/English/Data+management+plan" TargetMode="External"/><Relationship Id="rId32" Type="http://schemas.openxmlformats.org/officeDocument/2006/relationships/hyperlink" Target="https://innsida.ntnu.no/wiki/-/wiki/English/Career+support+and+development+for+postdocs" TargetMode="External"/><Relationship Id="rId37" Type="http://schemas.openxmlformats.org/officeDocument/2006/relationships/hyperlink" Target="https://innsida.ntnu.no/wiki/-/wiki/English/Appraisal+interview+with+international+staff+members" TargetMode="External"/><Relationship Id="rId40" Type="http://schemas.openxmlformats.org/officeDocument/2006/relationships/hyperlink" Target="https://innsida.ntnu.no/en/forskertermin" TargetMode="External"/><Relationship Id="rId45" Type="http://schemas.openxmlformats.org/officeDocument/2006/relationships/hyperlink" Target="https://www.ntnu.edu/research/research-excellence" TargetMode="External"/><Relationship Id="rId53" Type="http://schemas.openxmlformats.org/officeDocument/2006/relationships/hyperlink" Target="https://innsida.ntnu.no/undervisningsstotte" TargetMode="External"/><Relationship Id="rId58" Type="http://schemas.openxmlformats.org/officeDocument/2006/relationships/hyperlink" Target="https://innsida.ntnu.no/wiki/-/wiki/Norsk/Sentralt+samarbeidsutvalg+-+SESAM" TargetMode="External"/><Relationship Id="rId5" Type="http://schemas.openxmlformats.org/officeDocument/2006/relationships/footnotes" Target="footnotes.xml"/><Relationship Id="rId15" Type="http://schemas.openxmlformats.org/officeDocument/2006/relationships/hyperlink" Target="https://innsida.ntnu.no/prosjekt" TargetMode="External"/><Relationship Id="rId23" Type="http://schemas.openxmlformats.org/officeDocument/2006/relationships/hyperlink" Target="https://innsida.ntnu.no/wiki/-/wiki/English/NTNU+Open+Data" TargetMode="External"/><Relationship Id="rId28" Type="http://schemas.openxmlformats.org/officeDocument/2006/relationships/hyperlink" Target="https://www.regjeringen.no/en/dokumenter/regulations-concerning-appointment-and-p/id270830/" TargetMode="External"/><Relationship Id="rId36" Type="http://schemas.openxmlformats.org/officeDocument/2006/relationships/hyperlink" Target="https://innsida.ntnu.no/permisjon" TargetMode="External"/><Relationship Id="rId49" Type="http://schemas.openxmlformats.org/officeDocument/2006/relationships/hyperlink" Target="https://innsida.ntnu.no/wiki/-/wiki/English/Intellectual+property+rights" TargetMode="External"/><Relationship Id="rId57" Type="http://schemas.openxmlformats.org/officeDocument/2006/relationships/hyperlink" Target="https://innsida.ntnu.no/wiki/-/wiki/English/Workplace+Environment+Committee+-+AMU" TargetMode="External"/><Relationship Id="rId61" Type="http://schemas.openxmlformats.org/officeDocument/2006/relationships/hyperlink" Target="https://innsida.ntnu.no/wiki/-/wiki/English/Checklist+employee+appraisal+interview+topics-.+Ph.D.+Candidates?_36_redirect=https%3A%2F%2Finnsida.ntnu.no%2Fwiki%2F-%2Fwiki%2FEnglish%2Frecent_changes%3Fp_r_p_185834411_title%3DChecklist%2Bemployee%2Bappraisal%2Binterview%2Btopics%2Bpost%2Bdoc" TargetMode="External"/><Relationship Id="rId10" Type="http://schemas.openxmlformats.org/officeDocument/2006/relationships/hyperlink" Target="http://www.etikkom.no/en/" TargetMode="External"/><Relationship Id="rId19" Type="http://schemas.openxmlformats.org/officeDocument/2006/relationships/hyperlink" Target="https://www.ntnutto.no/home/" TargetMode="External"/><Relationship Id="rId31" Type="http://schemas.openxmlformats.org/officeDocument/2006/relationships/hyperlink" Target="https://www.regjeringen.no/en/dokumenter/Regulations-concerning-terms-and-conditions-of-employment-for-post-doctoral-research-fellow-research-fellow-and-research-assistant/id92637/" TargetMode="External"/><Relationship Id="rId44" Type="http://schemas.openxmlformats.org/officeDocument/2006/relationships/hyperlink" Target="https://innsida.ntnu.no/wiki/-/wiki/English/Mentor+program+for+women" TargetMode="External"/><Relationship Id="rId52" Type="http://schemas.openxmlformats.org/officeDocument/2006/relationships/hyperlink" Target="https://www.ntnu.edu/ipl/educational-development" TargetMode="External"/><Relationship Id="rId60" Type="http://schemas.openxmlformats.org/officeDocument/2006/relationships/hyperlink" Target="https://innsida.ntnu.no/wiki/-/wiki/English/PhD+candidate+supervisio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tnu.edu/strategy-2018-2025" TargetMode="External"/><Relationship Id="rId14" Type="http://schemas.openxmlformats.org/officeDocument/2006/relationships/hyperlink" Target="https://innsida.ntnu.no/c/wiki/get_page_attachment?p_l_id=22780&amp;nodeId=24647&amp;title=Intellektuelle+rettigheter&amp;fileName=Intellectual%20Properties%20-%20IPR%20.pdf" TargetMode="External"/><Relationship Id="rId22" Type="http://schemas.openxmlformats.org/officeDocument/2006/relationships/hyperlink" Target="https://innsida.ntnu.no/wiki/-/wiki/English/Publish+with+Open+Access" TargetMode="External"/><Relationship Id="rId27" Type="http://schemas.openxmlformats.org/officeDocument/2006/relationships/hyperlink" Target="https://innsida.ntnu.no/wiki/-/wiki/English/Policy+for+Gender+Equality+and+Diversity+2018-2021" TargetMode="External"/><Relationship Id="rId30" Type="http://schemas.openxmlformats.org/officeDocument/2006/relationships/hyperlink" Target="https://innsida.ntnu.no/wiki/-/wiki/Norsk/Personalreglement" TargetMode="External"/><Relationship Id="rId35" Type="http://schemas.openxmlformats.org/officeDocument/2006/relationships/hyperlink" Target="https://innsida.ntnu.no/wiki/-/wiki/English/Working+conditions+for+employees" TargetMode="External"/><Relationship Id="rId43" Type="http://schemas.openxmlformats.org/officeDocument/2006/relationships/hyperlink" Target="https://innsida.ntnu.no/wiki/-/wiki/English/Checklist+employee+appraisal+interview+topics?_36_redirect=https%3A%2F%2Finnsida.ntnu.no%2Fwiki%2F-%2Fwiki%2FEnglish%2Frecent_changes%3Fp_r_p_185834411_title%3DAppraisal%2Binterview%2Bfor%2Bemployees" TargetMode="External"/><Relationship Id="rId48" Type="http://schemas.openxmlformats.org/officeDocument/2006/relationships/hyperlink" Target="https://innsida.ntnu.no/wiki/-/wiki/English/Career+support+and+development+for+postdocs" TargetMode="External"/><Relationship Id="rId56" Type="http://schemas.openxmlformats.org/officeDocument/2006/relationships/hyperlink" Target="https://innsida.ntnu.no/wiki/-/wiki/English/Whistleblowing%20" TargetMode="Externa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innsida.ntnu.no/wiki/-/wiki/English/Intellectual+property+rights" TargetMode="External"/><Relationship Id="rId3" Type="http://schemas.openxmlformats.org/officeDocument/2006/relationships/settings" Target="settings.xml"/><Relationship Id="rId12" Type="http://schemas.openxmlformats.org/officeDocument/2006/relationships/hyperlink" Target="https://www.ntnu.edu/ethics-portal" TargetMode="External"/><Relationship Id="rId17" Type="http://schemas.openxmlformats.org/officeDocument/2006/relationships/hyperlink" Target="https://innsida.ntnu.no/wiki/-/wiki/Norsk/Oppbevaring+og+utlevering+av+forskningsdata+fra+helseforskning" TargetMode="External"/><Relationship Id="rId25" Type="http://schemas.openxmlformats.org/officeDocument/2006/relationships/hyperlink" Target="https://geminiresearchnews.com/" TargetMode="External"/><Relationship Id="rId33" Type="http://schemas.openxmlformats.org/officeDocument/2006/relationships/hyperlink" Target="https://innsida.ntnu.no/hms" TargetMode="External"/><Relationship Id="rId38" Type="http://schemas.openxmlformats.org/officeDocument/2006/relationships/hyperlink" Target="https://innsida.ntnu.no/programvare" TargetMode="External"/><Relationship Id="rId46" Type="http://schemas.openxmlformats.org/officeDocument/2006/relationships/hyperlink" Target="https://innsida.ntnu.no/kurs" TargetMode="External"/><Relationship Id="rId59" Type="http://schemas.openxmlformats.org/officeDocument/2006/relationships/hyperlink" Target="https://innsida.ntnu.no/doktorg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4601</Words>
  <Characters>24389</Characters>
  <Application>Microsoft Office Word</Application>
  <DocSecurity>0</DocSecurity>
  <Lines>203</Lines>
  <Paragraphs>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AVGOU Eleni</dc:creator>
  <cp:keywords/>
  <dc:description/>
  <cp:lastModifiedBy>Kristin Wergeland Brekke</cp:lastModifiedBy>
  <cp:revision>3</cp:revision>
  <cp:lastPrinted>2018-10-31T08:11:00Z</cp:lastPrinted>
  <dcterms:created xsi:type="dcterms:W3CDTF">2018-12-12T10:00:00Z</dcterms:created>
  <dcterms:modified xsi:type="dcterms:W3CDTF">2018-12-12T10:00:00Z</dcterms:modified>
</cp:coreProperties>
</file>