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D0AA" w14:textId="233BDE83" w:rsidR="00CA2D28" w:rsidRDefault="00CA2D28" w:rsidP="00CA2D28">
      <w:pPr>
        <w:spacing w:after="0" w:line="240" w:lineRule="auto"/>
        <w:jc w:val="center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en-GB"/>
          <w14:ligatures w14:val="none"/>
        </w:rPr>
        <w:t>DCADES LECTURE # 4</w:t>
      </w:r>
    </w:p>
    <w:p w14:paraId="6CB44EC8" w14:textId="2EE0974A" w:rsidR="00CA2D28" w:rsidRPr="00CA2D28" w:rsidRDefault="00CA2D28" w:rsidP="00CA2D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2D28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en-GB"/>
          <w14:ligatures w14:val="none"/>
        </w:rPr>
        <w:t>SOLVENT EFFECTS ON ALCOHOL DEHYDROGENASE: INSIGHTS FROM MOLECULAR DYNAMICS SIMULATIONS</w:t>
      </w:r>
    </w:p>
    <w:p w14:paraId="5C3F3D79" w14:textId="50FC3BEC" w:rsidR="00CA2D28" w:rsidRPr="00CA2D28" w:rsidRDefault="00CA2D28" w:rsidP="00CA2D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2D28">
        <w:rPr>
          <w:rFonts w:ascii="TimesNewRomanPSMT" w:eastAsia="Times New Roman" w:hAnsi="TimesNewRomanPSMT" w:cs="Times New Roman"/>
          <w:kern w:val="0"/>
          <w:u w:val="single"/>
          <w:lang w:eastAsia="en-GB"/>
          <w14:ligatures w14:val="none"/>
        </w:rPr>
        <w:t>Jan Philipp Bittner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u w:val="single"/>
          <w:lang w:eastAsia="en-GB"/>
          <w14:ligatures w14:val="none"/>
        </w:rPr>
        <w:t>1*</w:t>
      </w:r>
      <w:r w:rsidRPr="00CA2D28">
        <w:rPr>
          <w:rFonts w:ascii="TimesNewRomanPSMT" w:eastAsia="Times New Roman" w:hAnsi="TimesNewRomanPSMT" w:cs="Times New Roman"/>
          <w:kern w:val="0"/>
          <w:u w:val="single"/>
          <w:lang w:eastAsia="en-GB"/>
          <w14:ligatures w14:val="none"/>
        </w:rPr>
        <w:t>;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Ningning Zhang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>2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; Pablo Domínguez de María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>3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; Irina Smirnova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>1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; Selin Kara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 xml:space="preserve">2,4 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and Sven Jakobtorweihen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>1,5</w:t>
      </w:r>
    </w:p>
    <w:p w14:paraId="01263DAD" w14:textId="71D1CCA2" w:rsidR="00CA2D28" w:rsidRPr="00CA2D28" w:rsidRDefault="00CA2D28" w:rsidP="00CA2D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2D28">
        <w:rPr>
          <w:rFonts w:ascii="TimesNewRomanPS" w:eastAsia="Times New Roman" w:hAnsi="TimesNewRomanPS" w:cs="Times New Roman"/>
          <w:i/>
          <w:iCs/>
          <w:kern w:val="0"/>
          <w:position w:val="8"/>
          <w:sz w:val="12"/>
          <w:szCs w:val="12"/>
          <w:lang w:eastAsia="en-GB"/>
          <w14:ligatures w14:val="none"/>
        </w:rPr>
        <w:t xml:space="preserve">1 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Institute of Thermal Separation Processes, Hamburg University of Technology, Hamburg, Germany </w:t>
      </w:r>
      <w:r w:rsidRPr="00CA2D28">
        <w:rPr>
          <w:rFonts w:ascii="TimesNewRomanPS" w:eastAsia="Times New Roman" w:hAnsi="TimesNewRomanPS" w:cs="Times New Roman"/>
          <w:i/>
          <w:iCs/>
          <w:kern w:val="0"/>
          <w:position w:val="8"/>
          <w:sz w:val="12"/>
          <w:szCs w:val="12"/>
          <w:lang w:eastAsia="en-GB"/>
          <w14:ligatures w14:val="none"/>
        </w:rPr>
        <w:t xml:space="preserve">2 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t>Institute of Technical Chemistry, Leibniz University Hannover, Hannover, Germany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br/>
      </w:r>
      <w:r w:rsidRPr="00CA2D28">
        <w:rPr>
          <w:rFonts w:ascii="TimesNewRomanPS" w:eastAsia="Times New Roman" w:hAnsi="TimesNewRomanPS" w:cs="Times New Roman"/>
          <w:i/>
          <w:iCs/>
          <w:kern w:val="0"/>
          <w:position w:val="8"/>
          <w:sz w:val="12"/>
          <w:szCs w:val="12"/>
          <w:lang w:eastAsia="en-GB"/>
          <w14:ligatures w14:val="none"/>
        </w:rPr>
        <w:t xml:space="preserve">3 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t>Sustainable Momentum, SL., Las Palmas de Gran Canaria, Canary Islands, Spain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br/>
      </w:r>
      <w:r w:rsidRPr="00CA2D28">
        <w:rPr>
          <w:rFonts w:ascii="TimesNewRomanPS" w:eastAsia="Times New Roman" w:hAnsi="TimesNewRomanPS" w:cs="Times New Roman"/>
          <w:i/>
          <w:iCs/>
          <w:kern w:val="0"/>
          <w:position w:val="8"/>
          <w:sz w:val="12"/>
          <w:szCs w:val="12"/>
          <w:lang w:eastAsia="en-GB"/>
          <w14:ligatures w14:val="none"/>
        </w:rPr>
        <w:t xml:space="preserve">4 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t>Department of Biological and Chemical Engineering, Aarhus University, Aarhus, Denmark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br/>
      </w:r>
      <w:r w:rsidRPr="00CA2D28">
        <w:rPr>
          <w:rFonts w:ascii="TimesNewRomanPS" w:eastAsia="Times New Roman" w:hAnsi="TimesNewRomanPS" w:cs="Times New Roman"/>
          <w:i/>
          <w:iCs/>
          <w:kern w:val="0"/>
          <w:position w:val="8"/>
          <w:sz w:val="16"/>
          <w:szCs w:val="16"/>
          <w:lang w:eastAsia="en-GB"/>
          <w14:ligatures w14:val="none"/>
        </w:rPr>
        <w:t xml:space="preserve">5 </w:t>
      </w: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t>Institute for Chemical Reaction Engineering, Hamburg University of Technology, Hamburg, Germany</w:t>
      </w:r>
    </w:p>
    <w:p w14:paraId="3318CCD9" w14:textId="18A44CE1" w:rsidR="00CA2D28" w:rsidRPr="00CA2D28" w:rsidRDefault="00CA2D28" w:rsidP="00CA2D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2D28">
        <w:rPr>
          <w:rFonts w:ascii="TimesNewRomanPS" w:eastAsia="Times New Roman" w:hAnsi="TimesNewRomanPS" w:cs="Times New Roman"/>
          <w:i/>
          <w:iCs/>
          <w:kern w:val="0"/>
          <w:sz w:val="20"/>
          <w:szCs w:val="20"/>
          <w:lang w:eastAsia="en-GB"/>
          <w14:ligatures w14:val="none"/>
        </w:rPr>
        <w:t>* Corresponding author: jan.bittner@tuhh.de</w:t>
      </w:r>
    </w:p>
    <w:p w14:paraId="597760BF" w14:textId="77777777" w:rsidR="00CA2D28" w:rsidRDefault="00CA2D28" w:rsidP="00CA2D28">
      <w:pPr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</w:pP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Understanding the behavior of alcohol dehydrogenase (ADH) in non-conventional reaction media is crucial for optimizing its catalysis in these solutions. The choice of the solvent plays a pivotal role in enhancing biotransformation efficiency while mitigating issues such as limited reactant solubility and water-induced side effects. Deep eutectic solvents (DESs) are a novel solvent class for biocatalysis that offer a high degree of tunability and have already been applied to various biocatalytic systems.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 xml:space="preserve">1 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This study explores the impact of various solvents, including DESs, on horse liver alcohol dehydrogenase (HLADH) using molecular dynamics (MD) simulations.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 xml:space="preserve">2 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The simulations revealed that glycerol has a high affinity for the HLADH surface, which enhances its stability in ChCl-Gly (1:2)-water mixtures. This effect is further improved by adjusting the glycerol molar ratio.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 xml:space="preserve">2a 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Spatial distribution functions highlight the solvent’s impact on enzyme flexibility and structural changes (see </w:t>
      </w:r>
      <w:r w:rsidRPr="00CA2D28">
        <w:rPr>
          <w:rFonts w:ascii="TimesNewRomanPS" w:eastAsia="Times New Roman" w:hAnsi="TimesNewRomanPS" w:cs="Times New Roman"/>
          <w:b/>
          <w:bCs/>
          <w:kern w:val="0"/>
          <w:lang w:eastAsia="en-GB"/>
          <w14:ligatures w14:val="none"/>
        </w:rPr>
        <w:t>Fig. 1</w:t>
      </w: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). Based on these results, we proposed new glycerol-containing DESs with a beneficial effect on HLADH. With the help of MD simulations, we could explain the experimentally observed effects of DES-water mixtures on enzyme activity and stability on an atomistic scale.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 xml:space="preserve">2 </w:t>
      </w:r>
    </w:p>
    <w:p w14:paraId="20B9905D" w14:textId="13A21773" w:rsidR="00CA2D28" w:rsidRPr="00CA2D28" w:rsidRDefault="00CA2D28" w:rsidP="00CA2D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2D2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begin"/>
      </w:r>
      <w:r w:rsidRPr="00CA2D2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instrText xml:space="preserve"> INCLUDEPICTURE "/Users/elisabj/Library/Group Containers/UBF8T346G9.ms/WebArchiveCopyPasteTempFiles/com.microsoft.Word/page1image48455184" \* MERGEFORMATINET </w:instrText>
      </w:r>
      <w:r w:rsidRPr="00CA2D2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separate"/>
      </w:r>
      <w:r w:rsidRPr="00CA2D28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4C6A3FFD" wp14:editId="5CE49BBC">
            <wp:extent cx="3826933" cy="1144393"/>
            <wp:effectExtent l="0" t="0" r="0" b="0"/>
            <wp:docPr id="1437242217" name="Picture 1" descr="page1image4845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484551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95" cy="11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2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end"/>
      </w:r>
    </w:p>
    <w:p w14:paraId="53C76267" w14:textId="77777777" w:rsidR="00CA2D28" w:rsidRPr="00CA2D28" w:rsidRDefault="00CA2D28" w:rsidP="00CA2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2D28">
        <w:rPr>
          <w:rFonts w:ascii="TimesNewRomanPS" w:eastAsia="Times New Roman" w:hAnsi="TimesNewRomanPS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Figure 1: </w:t>
      </w:r>
      <w:r w:rsidRPr="00CA2D28">
        <w:rPr>
          <w:rFonts w:ascii="TimesNewRomanPSMT" w:eastAsia="Times New Roman" w:hAnsi="TimesNewRomanPSMT" w:cs="Times New Roman"/>
          <w:kern w:val="0"/>
          <w:sz w:val="20"/>
          <w:szCs w:val="20"/>
          <w:lang w:eastAsia="en-GB"/>
          <w14:ligatures w14:val="none"/>
        </w:rPr>
        <w:t xml:space="preserve">Spatial distribution function of glycerol (green) and choline ions (blue) in the proximity of HLADH (gray) in the MD simulations of (a) ChCl-Gly (1:2) and (b) ChCl-Gly (1:9) in mixtures with 20 vol.% water. </w:t>
      </w:r>
    </w:p>
    <w:p w14:paraId="2316F7DD" w14:textId="77777777" w:rsidR="00CA2D28" w:rsidRDefault="00CA2D28" w:rsidP="00CA2D28">
      <w:pPr>
        <w:spacing w:after="0" w:line="240" w:lineRule="auto"/>
        <w:jc w:val="both"/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</w:pPr>
      <w:r w:rsidRPr="00CA2D28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This study further focused on the structural changes of HLADH’s active center in diverse reaction environments. The free energy profiles of the substrate molecule (cyclohexanone) along the substrate-binding tunnel to HLADH's active center were quantified using MD simulations. Understanding enzyme behavior at an atomistic level can guide solvent selection for ADH-catalyzed reactions. Thereby, MD simulations provide detailed insights into enzyme- solvent interactions and substrate binding, which can aid in solvent engineering to maintain enzymatic activity under non-conventional reaction conditions.</w:t>
      </w:r>
      <w:r w:rsidRPr="00CA2D28">
        <w:rPr>
          <w:rFonts w:ascii="TimesNewRomanPSMT" w:eastAsia="Times New Roman" w:hAnsi="TimesNewRomanPSMT" w:cs="Times New Roman"/>
          <w:kern w:val="0"/>
          <w:position w:val="8"/>
          <w:sz w:val="16"/>
          <w:szCs w:val="16"/>
          <w:lang w:eastAsia="en-GB"/>
          <w14:ligatures w14:val="none"/>
        </w:rPr>
        <w:t xml:space="preserve">3 </w:t>
      </w:r>
    </w:p>
    <w:p w14:paraId="17B20D1D" w14:textId="77777777" w:rsidR="00CA2D28" w:rsidRPr="00CA2D28" w:rsidRDefault="00CA2D28" w:rsidP="00CA2D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en-GB"/>
          <w14:ligatures w14:val="none"/>
        </w:rPr>
      </w:pPr>
    </w:p>
    <w:p w14:paraId="432FA915" w14:textId="69653A33" w:rsidR="00CA2D28" w:rsidRPr="00CA2D28" w:rsidRDefault="00CA2D28" w:rsidP="00CA2D28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</w:pP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[1] a) M. Pätzold, S. Siebenhaller, S. Kara, A. Liese, C. Syldatk, D. Holtmann,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 xml:space="preserve">Trends Biotechnol. </w:t>
      </w:r>
      <w:r w:rsidRPr="00CA2D2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en-GB"/>
          <w14:ligatures w14:val="none"/>
        </w:rPr>
        <w:t>2019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>37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943– 959. b) N. Zhang, P. Domínguez de María, S. Kara,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 xml:space="preserve">Catalysts </w:t>
      </w:r>
      <w:r w:rsidRPr="00CA2D2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en-GB"/>
          <w14:ligatures w14:val="none"/>
        </w:rPr>
        <w:t>2024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>14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>, 84.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br/>
        <w:t xml:space="preserve">[2] a) J. P. Bittner, N. Zhang, L. Huang, P. Domínguez de María, S. Jakobtorweihen, S. Kara,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>Green Chem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. </w:t>
      </w:r>
      <w:r w:rsidRPr="00CA2D2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en-GB"/>
          <w14:ligatures w14:val="none"/>
        </w:rPr>
        <w:t>2022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>24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1120–1131. b) L. Huang, J. P. Bittner, P. Domínguez de María, S. Jakobtorweihen, S. Kara,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 xml:space="preserve">ChemBioChem </w:t>
      </w:r>
      <w:r w:rsidRPr="00CA2D2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en-GB"/>
          <w14:ligatures w14:val="none"/>
        </w:rPr>
        <w:t>2020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>21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>, 811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>-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817. </w:t>
      </w:r>
    </w:p>
    <w:p w14:paraId="167675A1" w14:textId="77777777" w:rsidR="00CA2D28" w:rsidRPr="00CA2D28" w:rsidRDefault="00CA2D28" w:rsidP="00CA2D28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</w:pP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[3] J. P. Bittner, I. Smirnova, S. Jakobtorweihen,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 xml:space="preserve">Molecules </w:t>
      </w:r>
      <w:r w:rsidRPr="00CA2D2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en-GB"/>
          <w14:ligatures w14:val="none"/>
        </w:rPr>
        <w:t>2024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</w:t>
      </w:r>
      <w:r w:rsidRPr="00CA2D2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GB"/>
          <w14:ligatures w14:val="none"/>
        </w:rPr>
        <w:t>29</w:t>
      </w:r>
      <w:r w:rsidRPr="00CA2D28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 xml:space="preserve">, 703. </w:t>
      </w:r>
    </w:p>
    <w:p w14:paraId="598B63A6" w14:textId="5E4528C2" w:rsidR="00CA2D28" w:rsidRPr="00CA2D28" w:rsidRDefault="00CA2D28" w:rsidP="00CA2D28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</w:pPr>
    </w:p>
    <w:p w14:paraId="75182DA4" w14:textId="77777777" w:rsidR="00CA2D28" w:rsidRPr="00CA2D28" w:rsidRDefault="00CA2D28">
      <w:pPr>
        <w:rPr>
          <w:lang w:val="nb-NO"/>
        </w:rPr>
      </w:pPr>
    </w:p>
    <w:sectPr w:rsidR="00CA2D28" w:rsidRPr="00CA2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28"/>
    <w:rsid w:val="006604B2"/>
    <w:rsid w:val="006747B0"/>
    <w:rsid w:val="00B90113"/>
    <w:rsid w:val="00CA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E83FED"/>
  <w15:chartTrackingRefBased/>
  <w15:docId w15:val="{7C3B6C6F-FD8F-0F44-BB36-1912E7A0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D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A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Egholm Jacobsen</dc:creator>
  <cp:keywords/>
  <dc:description/>
  <cp:lastModifiedBy>Elisabeth Egholm Jacobsen</cp:lastModifiedBy>
  <cp:revision>1</cp:revision>
  <dcterms:created xsi:type="dcterms:W3CDTF">2024-05-09T17:18:00Z</dcterms:created>
  <dcterms:modified xsi:type="dcterms:W3CDTF">2024-05-09T17:23:00Z</dcterms:modified>
</cp:coreProperties>
</file>