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D0AA" w14:textId="233BDE83" w:rsidR="00CA2D28" w:rsidRDefault="00CA2D28" w:rsidP="00CA2D28">
      <w:pPr>
        <w:spacing w:after="0" w:line="240" w:lineRule="auto"/>
        <w:jc w:val="center"/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en-GB"/>
          <w14:ligatures w14:val="none"/>
        </w:rPr>
        <w:t>DCADES LECTURE # 4</w:t>
      </w:r>
    </w:p>
    <w:p w14:paraId="6CB44EC8" w14:textId="2EE0974A" w:rsidR="00CA2D28" w:rsidRPr="00CA2D28" w:rsidRDefault="00CA2D28" w:rsidP="00CA2D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2D28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en-GB"/>
          <w14:ligatures w14:val="none"/>
        </w:rPr>
        <w:t>SOLVENT EFFECTS ON ALCOHOL DEHYDROGENASE: INSIGHTS FROM MOLECULAR DYNAMICS SIMULATIONS</w:t>
      </w:r>
    </w:p>
    <w:p w14:paraId="5C3F3D79" w14:textId="50FC3BEC" w:rsidR="00CA2D28" w:rsidRPr="00CA2D28" w:rsidRDefault="00CA2D28" w:rsidP="00CA2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2D28">
        <w:rPr>
          <w:rFonts w:ascii="TimesNewRomanPSMT" w:eastAsia="Times New Roman" w:hAnsi="TimesNewRomanPSMT" w:cs="Times New Roman"/>
          <w:kern w:val="0"/>
          <w:u w:val="single"/>
          <w:lang w:eastAsia="en-GB"/>
          <w14:ligatures w14:val="none"/>
        </w:rPr>
        <w:t>Jan Philipp Bittner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u w:val="single"/>
          <w:lang w:eastAsia="en-GB"/>
          <w14:ligatures w14:val="none"/>
        </w:rPr>
        <w:t>1*</w:t>
      </w:r>
      <w:r w:rsidRPr="00CA2D28">
        <w:rPr>
          <w:rFonts w:ascii="TimesNewRomanPSMT" w:eastAsia="Times New Roman" w:hAnsi="TimesNewRomanPSMT" w:cs="Times New Roman"/>
          <w:kern w:val="0"/>
          <w:u w:val="single"/>
          <w:lang w:eastAsia="en-GB"/>
          <w14:ligatures w14:val="none"/>
        </w:rPr>
        <w:t>;</w:t>
      </w: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 Ningning Zhang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>2</w:t>
      </w: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; Pablo Domínguez de María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>3</w:t>
      </w: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; Irina Smirnova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>1</w:t>
      </w: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; Selin Kara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 xml:space="preserve">2,4 </w:t>
      </w: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and Sven Jakobtorweihen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>1,5</w:t>
      </w:r>
    </w:p>
    <w:p w14:paraId="01263DAD" w14:textId="71D1CCA2" w:rsidR="00CA2D28" w:rsidRPr="00CA2D28" w:rsidRDefault="00CA2D28" w:rsidP="00CA2D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2D28">
        <w:rPr>
          <w:rFonts w:ascii="TimesNewRomanPS" w:eastAsia="Times New Roman" w:hAnsi="TimesNewRomanPS" w:cs="Times New Roman"/>
          <w:i/>
          <w:iCs/>
          <w:kern w:val="0"/>
          <w:position w:val="8"/>
          <w:sz w:val="12"/>
          <w:szCs w:val="12"/>
          <w:lang w:eastAsia="en-GB"/>
          <w14:ligatures w14:val="none"/>
        </w:rPr>
        <w:t xml:space="preserve">1 </w:t>
      </w:r>
      <w:r w:rsidRPr="00CA2D28">
        <w:rPr>
          <w:rFonts w:ascii="TimesNewRomanPS" w:eastAsia="Times New Roman" w:hAnsi="TimesNewRomanPS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Institute of Thermal Separation Processes, Hamburg University of Technology, Hamburg, Germany </w:t>
      </w:r>
      <w:r w:rsidRPr="00CA2D28">
        <w:rPr>
          <w:rFonts w:ascii="TimesNewRomanPS" w:eastAsia="Times New Roman" w:hAnsi="TimesNewRomanPS" w:cs="Times New Roman"/>
          <w:i/>
          <w:iCs/>
          <w:kern w:val="0"/>
          <w:position w:val="8"/>
          <w:sz w:val="12"/>
          <w:szCs w:val="12"/>
          <w:lang w:eastAsia="en-GB"/>
          <w14:ligatures w14:val="none"/>
        </w:rPr>
        <w:t xml:space="preserve">2 </w:t>
      </w:r>
      <w:r w:rsidRPr="00CA2D28">
        <w:rPr>
          <w:rFonts w:ascii="TimesNewRomanPS" w:eastAsia="Times New Roman" w:hAnsi="TimesNewRomanPS" w:cs="Times New Roman"/>
          <w:i/>
          <w:iCs/>
          <w:kern w:val="0"/>
          <w:sz w:val="20"/>
          <w:szCs w:val="20"/>
          <w:lang w:eastAsia="en-GB"/>
          <w14:ligatures w14:val="none"/>
        </w:rPr>
        <w:t>Institute of Technical Chemistry, Leibniz University Hannover, Hannover, Germany</w:t>
      </w:r>
      <w:r w:rsidRPr="00CA2D28">
        <w:rPr>
          <w:rFonts w:ascii="TimesNewRomanPS" w:eastAsia="Times New Roman" w:hAnsi="TimesNewRomanPS" w:cs="Times New Roman"/>
          <w:i/>
          <w:iCs/>
          <w:kern w:val="0"/>
          <w:sz w:val="20"/>
          <w:szCs w:val="20"/>
          <w:lang w:eastAsia="en-GB"/>
          <w14:ligatures w14:val="none"/>
        </w:rPr>
        <w:br/>
      </w:r>
      <w:r w:rsidRPr="00CA2D28">
        <w:rPr>
          <w:rFonts w:ascii="TimesNewRomanPS" w:eastAsia="Times New Roman" w:hAnsi="TimesNewRomanPS" w:cs="Times New Roman"/>
          <w:i/>
          <w:iCs/>
          <w:kern w:val="0"/>
          <w:position w:val="8"/>
          <w:sz w:val="12"/>
          <w:szCs w:val="12"/>
          <w:lang w:eastAsia="en-GB"/>
          <w14:ligatures w14:val="none"/>
        </w:rPr>
        <w:t xml:space="preserve">3 </w:t>
      </w:r>
      <w:r w:rsidRPr="00CA2D28">
        <w:rPr>
          <w:rFonts w:ascii="TimesNewRomanPS" w:eastAsia="Times New Roman" w:hAnsi="TimesNewRomanPS" w:cs="Times New Roman"/>
          <w:i/>
          <w:iCs/>
          <w:kern w:val="0"/>
          <w:sz w:val="20"/>
          <w:szCs w:val="20"/>
          <w:lang w:eastAsia="en-GB"/>
          <w14:ligatures w14:val="none"/>
        </w:rPr>
        <w:t>Sustainable Momentum, SL., Las Palmas de Gran Canaria, Canary Islands, Spain</w:t>
      </w:r>
      <w:r w:rsidRPr="00CA2D28">
        <w:rPr>
          <w:rFonts w:ascii="TimesNewRomanPS" w:eastAsia="Times New Roman" w:hAnsi="TimesNewRomanPS" w:cs="Times New Roman"/>
          <w:i/>
          <w:iCs/>
          <w:kern w:val="0"/>
          <w:sz w:val="20"/>
          <w:szCs w:val="20"/>
          <w:lang w:eastAsia="en-GB"/>
          <w14:ligatures w14:val="none"/>
        </w:rPr>
        <w:br/>
      </w:r>
      <w:r w:rsidRPr="00CA2D28">
        <w:rPr>
          <w:rFonts w:ascii="TimesNewRomanPS" w:eastAsia="Times New Roman" w:hAnsi="TimesNewRomanPS" w:cs="Times New Roman"/>
          <w:i/>
          <w:iCs/>
          <w:kern w:val="0"/>
          <w:position w:val="8"/>
          <w:sz w:val="12"/>
          <w:szCs w:val="12"/>
          <w:lang w:eastAsia="en-GB"/>
          <w14:ligatures w14:val="none"/>
        </w:rPr>
        <w:t xml:space="preserve">4 </w:t>
      </w:r>
      <w:r w:rsidRPr="00CA2D28">
        <w:rPr>
          <w:rFonts w:ascii="TimesNewRomanPS" w:eastAsia="Times New Roman" w:hAnsi="TimesNewRomanPS" w:cs="Times New Roman"/>
          <w:i/>
          <w:iCs/>
          <w:kern w:val="0"/>
          <w:sz w:val="20"/>
          <w:szCs w:val="20"/>
          <w:lang w:eastAsia="en-GB"/>
          <w14:ligatures w14:val="none"/>
        </w:rPr>
        <w:t>Department of Biological and Chemical Engineering, Aarhus University, Aarhus, Denmark</w:t>
      </w:r>
      <w:r w:rsidRPr="00CA2D28">
        <w:rPr>
          <w:rFonts w:ascii="TimesNewRomanPS" w:eastAsia="Times New Roman" w:hAnsi="TimesNewRomanPS" w:cs="Times New Roman"/>
          <w:i/>
          <w:iCs/>
          <w:kern w:val="0"/>
          <w:sz w:val="20"/>
          <w:szCs w:val="20"/>
          <w:lang w:eastAsia="en-GB"/>
          <w14:ligatures w14:val="none"/>
        </w:rPr>
        <w:br/>
      </w:r>
      <w:r w:rsidRPr="00CA2D28">
        <w:rPr>
          <w:rFonts w:ascii="TimesNewRomanPS" w:eastAsia="Times New Roman" w:hAnsi="TimesNewRomanPS" w:cs="Times New Roman"/>
          <w:i/>
          <w:iCs/>
          <w:kern w:val="0"/>
          <w:position w:val="8"/>
          <w:sz w:val="16"/>
          <w:szCs w:val="16"/>
          <w:lang w:eastAsia="en-GB"/>
          <w14:ligatures w14:val="none"/>
        </w:rPr>
        <w:t xml:space="preserve">5 </w:t>
      </w:r>
      <w:r w:rsidRPr="00CA2D28">
        <w:rPr>
          <w:rFonts w:ascii="TimesNewRomanPS" w:eastAsia="Times New Roman" w:hAnsi="TimesNewRomanPS" w:cs="Times New Roman"/>
          <w:i/>
          <w:iCs/>
          <w:kern w:val="0"/>
          <w:sz w:val="20"/>
          <w:szCs w:val="20"/>
          <w:lang w:eastAsia="en-GB"/>
          <w14:ligatures w14:val="none"/>
        </w:rPr>
        <w:t>Institute for Chemical Reaction Engineering, Hamburg University of Technology, Hamburg, Germany</w:t>
      </w:r>
    </w:p>
    <w:p w14:paraId="3318CCD9" w14:textId="18A44CE1" w:rsidR="00CA2D28" w:rsidRPr="00CA2D28" w:rsidRDefault="00CA2D28" w:rsidP="00CA2D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2D28">
        <w:rPr>
          <w:rFonts w:ascii="TimesNewRomanPS" w:eastAsia="Times New Roman" w:hAnsi="TimesNewRomanPS" w:cs="Times New Roman"/>
          <w:i/>
          <w:iCs/>
          <w:kern w:val="0"/>
          <w:sz w:val="20"/>
          <w:szCs w:val="20"/>
          <w:lang w:eastAsia="en-GB"/>
          <w14:ligatures w14:val="none"/>
        </w:rPr>
        <w:t>* Corresponding author: jan.bittner@tuhh.de</w:t>
      </w:r>
    </w:p>
    <w:p w14:paraId="597760BF" w14:textId="77777777" w:rsidR="00CA2D28" w:rsidRDefault="00CA2D28" w:rsidP="00CA2D28">
      <w:pPr>
        <w:spacing w:before="100" w:beforeAutospacing="1" w:after="100" w:afterAutospacing="1" w:line="240" w:lineRule="auto"/>
        <w:jc w:val="both"/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</w:pP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Understanding the behavior of alcohol dehydrogenase (ADH) in non-conventional reaction media is crucial for optimizing its catalysis in these solutions. The choice of the solvent plays a pivotal role in enhancing biotransformation efficiency while mitigating issues such as limited reactant solubility and water-induced side effects. Deep eutectic solvents (DESs) are a novel solvent class for biocatalysis that offer a high degree of tunability and have already been applied to various biocatalytic systems.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 xml:space="preserve">1 </w:t>
      </w: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This study explores the impact of various solvents, including DESs, on horse liver alcohol dehydrogenase (HLADH) using molecular dynamics (MD) simulations.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 xml:space="preserve">2 </w:t>
      </w: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The simulations revealed that glycerol has a high affinity for the HLADH surface, which enhances its stability in ChCl-Gly (1:2)-water mixtures. This effect is further improved by adjusting the glycerol molar ratio.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 xml:space="preserve">2a </w:t>
      </w: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 xml:space="preserve">Spatial distribution functions highlight the solvent’s impact on enzyme flexibility and structural changes (see </w:t>
      </w:r>
      <w:r w:rsidRPr="00CA2D28">
        <w:rPr>
          <w:rFonts w:ascii="TimesNewRomanPS" w:eastAsia="Times New Roman" w:hAnsi="TimesNewRomanPS" w:cs="Times New Roman"/>
          <w:b/>
          <w:bCs/>
          <w:kern w:val="0"/>
          <w:lang w:eastAsia="en-GB"/>
          <w14:ligatures w14:val="none"/>
        </w:rPr>
        <w:t>Fig. 1</w:t>
      </w: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). Based on these results, we proposed new glycerol-containing DESs with a beneficial effect on HLADH. With the help of MD simulations, we could explain the experimentally observed effects of DES-water mixtures on enzyme activity and stability on an atomistic scale.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 xml:space="preserve">2 </w:t>
      </w:r>
    </w:p>
    <w:p w14:paraId="20B9905D" w14:textId="13A21773" w:rsidR="00CA2D28" w:rsidRPr="00CA2D28" w:rsidRDefault="00CA2D28" w:rsidP="00CA2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2D2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CA2D2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INCLUDEPICTURE "/Users/elisabj/Library/Group Containers/UBF8T346G9.ms/WebArchiveCopyPasteTempFiles/com.microsoft.Word/page1image48455184" \* MERGEFORMATINET </w:instrText>
      </w:r>
      <w:r w:rsidRPr="00CA2D2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CA2D28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4C6A3FFD" wp14:editId="5CE49BBC">
            <wp:extent cx="3826933" cy="1144393"/>
            <wp:effectExtent l="0" t="0" r="0" b="0"/>
            <wp:docPr id="1437242217" name="Picture 1" descr="page1image48455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84551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95" cy="11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D2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</w:p>
    <w:p w14:paraId="53C76267" w14:textId="77777777" w:rsidR="00CA2D28" w:rsidRPr="00CA2D28" w:rsidRDefault="00CA2D28" w:rsidP="00CA2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2D28">
        <w:rPr>
          <w:rFonts w:ascii="TimesNewRomanPS" w:eastAsia="Times New Roman" w:hAnsi="TimesNewRomanPS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Figure 1: </w:t>
      </w:r>
      <w:r w:rsidRPr="00CA2D28">
        <w:rPr>
          <w:rFonts w:ascii="TimesNewRomanPSMT" w:eastAsia="Times New Roman" w:hAnsi="TimesNewRomanPSMT" w:cs="Times New Roman"/>
          <w:kern w:val="0"/>
          <w:sz w:val="20"/>
          <w:szCs w:val="20"/>
          <w:lang w:eastAsia="en-GB"/>
          <w14:ligatures w14:val="none"/>
        </w:rPr>
        <w:t xml:space="preserve">Spatial distribution function of glycerol (green) and choline ions (blue) in the proximity of HLADH (gray) in the MD simulations of (a) ChCl-Gly (1:2) and (b) ChCl-Gly (1:9) in mixtures with 20 vol.% water. </w:t>
      </w:r>
    </w:p>
    <w:p w14:paraId="2316F7DD" w14:textId="77777777" w:rsidR="00CA2D28" w:rsidRDefault="00CA2D28" w:rsidP="00CA2D28">
      <w:pPr>
        <w:spacing w:after="0" w:line="240" w:lineRule="auto"/>
        <w:jc w:val="both"/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</w:pPr>
      <w:r w:rsidRPr="00CA2D28"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  <w:t>This study further focused on the structural changes of HLADH’s active center in diverse reaction environments. The free energy profiles of the substrate molecule (cyclohexanone) along the substrate-binding tunnel to HLADH's active center were quantified using MD simulations. Understanding enzyme behavior at an atomistic level can guide solvent selection for ADH-catalyzed reactions. Thereby, MD simulations provide detailed insights into enzyme- solvent interactions and substrate binding, which can aid in solvent engineering to maintain enzymatic activity under non-conventional reaction conditions.</w:t>
      </w:r>
      <w:r w:rsidRPr="00CA2D28">
        <w:rPr>
          <w:rFonts w:ascii="TimesNewRomanPSMT" w:eastAsia="Times New Roman" w:hAnsi="TimesNewRomanPSMT" w:cs="Times New Roman"/>
          <w:kern w:val="0"/>
          <w:position w:val="8"/>
          <w:sz w:val="16"/>
          <w:szCs w:val="16"/>
          <w:lang w:eastAsia="en-GB"/>
          <w14:ligatures w14:val="none"/>
        </w:rPr>
        <w:t xml:space="preserve">3 </w:t>
      </w:r>
    </w:p>
    <w:p w14:paraId="17B20D1D" w14:textId="77777777" w:rsidR="00CA2D28" w:rsidRPr="00CA2D28" w:rsidRDefault="00CA2D28" w:rsidP="00CA2D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32FA915" w14:textId="69653A33" w:rsidR="00CA2D28" w:rsidRPr="00CA2D28" w:rsidRDefault="00CA2D28" w:rsidP="00CA2D2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[1] a) M. Pätzold, S. Siebenhaller, S. Kara, A. Liese, C. Syldatk, D. Holtmann,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 xml:space="preserve">Trends Biotechnol. </w:t>
      </w:r>
      <w:r w:rsidRPr="00CA2D2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2019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>37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, 943– 959. b) N. Zhang, P. Domínguez de María, S. Kara,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 xml:space="preserve">Catalysts </w:t>
      </w:r>
      <w:r w:rsidRPr="00CA2D2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2024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>14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, 84.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 xml:space="preserve">[2] a) J. P. Bittner, N. Zhang, L. Huang, P. Domínguez de María, S. Jakobtorweihen, S. Kara,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>Green Chem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. </w:t>
      </w:r>
      <w:r w:rsidRPr="00CA2D2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2022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>24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, 1120–1131. b) L. Huang, J. P. Bittner, P. Domínguez de María, S. Jakobtorweihen, S. Kara,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 xml:space="preserve">ChemBioChem </w:t>
      </w:r>
      <w:r w:rsidRPr="00CA2D2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2020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>21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, 811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817. </w:t>
      </w:r>
    </w:p>
    <w:p w14:paraId="167675A1" w14:textId="77777777" w:rsidR="00CA2D28" w:rsidRPr="00CA2D28" w:rsidRDefault="00CA2D28" w:rsidP="00CA2D2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[3] J. P. Bittner, I. Smirnova, S. Jakobtorweihen,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 xml:space="preserve">Molecules </w:t>
      </w:r>
      <w:r w:rsidRPr="00CA2D2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2024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, </w:t>
      </w:r>
      <w:r w:rsidRPr="00CA2D2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>29</w:t>
      </w:r>
      <w:r w:rsidRPr="00CA2D28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, 703. </w:t>
      </w:r>
    </w:p>
    <w:p w14:paraId="598B63A6" w14:textId="5E4528C2" w:rsidR="00CA2D28" w:rsidRPr="00CA2D28" w:rsidRDefault="00CA2D28" w:rsidP="00CA2D2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75182DA4" w14:textId="77777777" w:rsidR="00CA2D28" w:rsidRPr="00CA2D28" w:rsidRDefault="00CA2D28">
      <w:pPr>
        <w:rPr>
          <w:lang w:val="nb-NO"/>
        </w:rPr>
      </w:pPr>
    </w:p>
    <w:sectPr w:rsidR="00CA2D28" w:rsidRPr="00CA2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28"/>
    <w:rsid w:val="006604B2"/>
    <w:rsid w:val="006747B0"/>
    <w:rsid w:val="00B90113"/>
    <w:rsid w:val="00CA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E83FED"/>
  <w15:chartTrackingRefBased/>
  <w15:docId w15:val="{7C3B6C6F-FD8F-0F44-BB36-1912E7A0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D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Egholm Jacobsen</dc:creator>
  <cp:keywords/>
  <dc:description/>
  <cp:lastModifiedBy>Elisabeth Egholm Jacobsen</cp:lastModifiedBy>
  <cp:revision>1</cp:revision>
  <dcterms:created xsi:type="dcterms:W3CDTF">2024-05-09T17:18:00Z</dcterms:created>
  <dcterms:modified xsi:type="dcterms:W3CDTF">2024-05-09T17:23:00Z</dcterms:modified>
</cp:coreProperties>
</file>