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6B48" w14:textId="76B69CAC" w:rsidR="003C067B" w:rsidRPr="000C108B" w:rsidRDefault="003C067B" w:rsidP="003C067B">
      <w:pPr>
        <w:snapToGrid w:val="0"/>
        <w:spacing w:before="120" w:after="0" w:line="240" w:lineRule="auto"/>
        <w:rPr>
          <w:b/>
          <w:bCs/>
          <w:sz w:val="36"/>
          <w:szCs w:val="36"/>
          <w:lang w:val="en-GB"/>
        </w:rPr>
      </w:pPr>
      <w:r w:rsidRPr="003C067B">
        <w:rPr>
          <w:b/>
          <w:bCs/>
          <w:sz w:val="28"/>
          <w:szCs w:val="28"/>
          <w:lang w:val="en-GB"/>
        </w:rPr>
        <w:t xml:space="preserve">NorPal – </w:t>
      </w:r>
      <w:r w:rsidR="00814D13">
        <w:rPr>
          <w:b/>
          <w:bCs/>
          <w:sz w:val="28"/>
          <w:szCs w:val="28"/>
          <w:lang w:val="en-GB"/>
        </w:rPr>
        <w:t>Norwegian</w:t>
      </w:r>
      <w:r w:rsidRPr="003C067B">
        <w:rPr>
          <w:b/>
          <w:bCs/>
          <w:sz w:val="28"/>
          <w:szCs w:val="28"/>
          <w:lang w:val="en-GB"/>
        </w:rPr>
        <w:t xml:space="preserve"> Consortium for Higher Education in Palestine</w:t>
      </w:r>
      <w:r w:rsidRPr="003C067B">
        <w:rPr>
          <w:sz w:val="28"/>
          <w:szCs w:val="28"/>
          <w:lang w:val="en-GB"/>
        </w:rPr>
        <w:br/>
      </w:r>
      <w:r w:rsidRPr="003C067B">
        <w:rPr>
          <w:b/>
          <w:bCs/>
          <w:sz w:val="36"/>
          <w:szCs w:val="36"/>
          <w:lang w:val="en-GB"/>
        </w:rPr>
        <w:t>Call for Network Funding</w:t>
      </w:r>
    </w:p>
    <w:p w14:paraId="18FB61FC" w14:textId="4F06D00A" w:rsidR="003C067B" w:rsidRPr="003C067B" w:rsidRDefault="003C067B" w:rsidP="003C067B">
      <w:pPr>
        <w:snapToGrid w:val="0"/>
        <w:spacing w:before="120" w:after="0" w:line="240" w:lineRule="auto"/>
        <w:rPr>
          <w:i/>
          <w:iCs/>
          <w:sz w:val="28"/>
          <w:szCs w:val="28"/>
          <w:lang w:val="en-GB"/>
        </w:rPr>
      </w:pPr>
      <w:r w:rsidRPr="003C067B">
        <w:rPr>
          <w:b/>
          <w:bCs/>
          <w:i/>
          <w:iCs/>
          <w:sz w:val="28"/>
          <w:szCs w:val="28"/>
          <w:lang w:val="en-GB"/>
        </w:rPr>
        <w:t>Application Deadline 26 March 2026</w:t>
      </w:r>
    </w:p>
    <w:p w14:paraId="7EEAB751" w14:textId="77777777" w:rsidR="003C067B" w:rsidRPr="003C067B" w:rsidRDefault="003C067B" w:rsidP="003C067B">
      <w:pPr>
        <w:snapToGrid w:val="0"/>
        <w:spacing w:before="240" w:after="0" w:line="240" w:lineRule="auto"/>
        <w:rPr>
          <w:lang w:val="en-GB"/>
        </w:rPr>
      </w:pPr>
      <w:r w:rsidRPr="003C067B">
        <w:rPr>
          <w:lang w:val="en-GB"/>
        </w:rPr>
        <w:t>The Board of NorPal invites Norwegian academic environments to apply for network funding to establish national working groups aimed at strengthening and contributing to the rebuilding of higher education and research in Palestine, with an application deadline of 26 March 2026.</w:t>
      </w:r>
    </w:p>
    <w:p w14:paraId="0D87962A" w14:textId="0FA9107F" w:rsidR="003C067B" w:rsidRPr="003C067B" w:rsidRDefault="003C067B" w:rsidP="003C067B">
      <w:pPr>
        <w:snapToGrid w:val="0"/>
        <w:spacing w:before="240" w:after="0" w:line="240" w:lineRule="auto"/>
        <w:rPr>
          <w:lang w:val="en-GB"/>
        </w:rPr>
      </w:pPr>
      <w:r w:rsidRPr="003C067B">
        <w:rPr>
          <w:b/>
          <w:bCs/>
          <w:lang w:val="en-GB"/>
        </w:rPr>
        <w:t>Applications must include:</w:t>
      </w:r>
    </w:p>
    <w:p w14:paraId="259886ED" w14:textId="77777777" w:rsidR="003C067B" w:rsidRPr="003C067B" w:rsidRDefault="003C067B" w:rsidP="003C067B">
      <w:pPr>
        <w:numPr>
          <w:ilvl w:val="0"/>
          <w:numId w:val="1"/>
        </w:numPr>
        <w:snapToGrid w:val="0"/>
        <w:spacing w:before="120" w:after="0" w:line="240" w:lineRule="auto"/>
        <w:rPr>
          <w:lang w:val="en-GB"/>
        </w:rPr>
      </w:pPr>
      <w:r w:rsidRPr="003C067B">
        <w:rPr>
          <w:lang w:val="en-GB"/>
        </w:rPr>
        <w:t>a description of how the working group’s plans and activities are anchored in concrete and expressed needs within higher education and research in Palestine,</w:t>
      </w:r>
    </w:p>
    <w:p w14:paraId="677CF861" w14:textId="77777777" w:rsidR="003C067B" w:rsidRPr="003C067B" w:rsidRDefault="003C067B" w:rsidP="003C067B">
      <w:pPr>
        <w:numPr>
          <w:ilvl w:val="0"/>
          <w:numId w:val="1"/>
        </w:numPr>
        <w:snapToGrid w:val="0"/>
        <w:spacing w:before="120" w:after="0" w:line="240" w:lineRule="auto"/>
        <w:rPr>
          <w:lang w:val="en-GB"/>
        </w:rPr>
      </w:pPr>
      <w:r w:rsidRPr="003C067B">
        <w:rPr>
          <w:lang w:val="en-GB"/>
        </w:rPr>
        <w:t>an account of the working group’s goals and the concrete activities to be initiated,</w:t>
      </w:r>
    </w:p>
    <w:p w14:paraId="4051899D" w14:textId="77777777" w:rsidR="003C067B" w:rsidRPr="003C067B" w:rsidRDefault="003C067B" w:rsidP="003C067B">
      <w:pPr>
        <w:numPr>
          <w:ilvl w:val="0"/>
          <w:numId w:val="1"/>
        </w:numPr>
        <w:snapToGrid w:val="0"/>
        <w:spacing w:before="120" w:after="0" w:line="240" w:lineRule="auto"/>
        <w:rPr>
          <w:lang w:val="en-GB"/>
        </w:rPr>
      </w:pPr>
      <w:r w:rsidRPr="003C067B">
        <w:rPr>
          <w:lang w:val="en-GB"/>
        </w:rPr>
        <w:t>an overview of established or planned contact and cooperation with partners in Palestine,</w:t>
      </w:r>
    </w:p>
    <w:p w14:paraId="131926DA" w14:textId="77777777" w:rsidR="003C067B" w:rsidRPr="003C067B" w:rsidRDefault="003C067B" w:rsidP="003C067B">
      <w:pPr>
        <w:numPr>
          <w:ilvl w:val="0"/>
          <w:numId w:val="1"/>
        </w:numPr>
        <w:snapToGrid w:val="0"/>
        <w:spacing w:before="120" w:after="0" w:line="240" w:lineRule="auto"/>
        <w:rPr>
          <w:lang w:val="en-GB"/>
        </w:rPr>
      </w:pPr>
      <w:r w:rsidRPr="003C067B">
        <w:rPr>
          <w:lang w:val="en-GB"/>
        </w:rPr>
        <w:t>an overview of any additional partners or links to other initiatives,</w:t>
      </w:r>
    </w:p>
    <w:p w14:paraId="46F4325E" w14:textId="77777777" w:rsidR="003C067B" w:rsidRPr="003C067B" w:rsidRDefault="003C067B" w:rsidP="003C067B">
      <w:pPr>
        <w:numPr>
          <w:ilvl w:val="0"/>
          <w:numId w:val="1"/>
        </w:numPr>
        <w:snapToGrid w:val="0"/>
        <w:spacing w:before="120" w:after="0" w:line="240" w:lineRule="auto"/>
        <w:rPr>
          <w:lang w:val="en-GB"/>
        </w:rPr>
      </w:pPr>
      <w:r w:rsidRPr="003C067B">
        <w:rPr>
          <w:lang w:val="en-GB"/>
        </w:rPr>
        <w:t>a description of the working group’s organisation, including clear leadership and committed participation from Norwegian academic environments, and</w:t>
      </w:r>
    </w:p>
    <w:p w14:paraId="213D0A54" w14:textId="77777777" w:rsidR="003C067B" w:rsidRPr="003C067B" w:rsidRDefault="003C067B" w:rsidP="003C067B">
      <w:pPr>
        <w:numPr>
          <w:ilvl w:val="0"/>
          <w:numId w:val="1"/>
        </w:numPr>
        <w:snapToGrid w:val="0"/>
        <w:spacing w:before="120" w:after="0" w:line="240" w:lineRule="auto"/>
        <w:rPr>
          <w:lang w:val="en-GB"/>
        </w:rPr>
      </w:pPr>
      <w:r w:rsidRPr="003C067B">
        <w:rPr>
          <w:lang w:val="en-GB"/>
        </w:rPr>
        <w:t>a budget showing how the funds are planned to be used for specific activities.</w:t>
      </w:r>
    </w:p>
    <w:p w14:paraId="3DC20B9D" w14:textId="41A1D89F" w:rsidR="003C067B" w:rsidRPr="003C067B" w:rsidRDefault="003C067B" w:rsidP="003C067B">
      <w:pPr>
        <w:snapToGrid w:val="0"/>
        <w:spacing w:before="240" w:after="0" w:line="240" w:lineRule="auto"/>
        <w:rPr>
          <w:lang w:val="en-GB"/>
        </w:rPr>
      </w:pPr>
      <w:r w:rsidRPr="003C067B">
        <w:rPr>
          <w:lang w:val="en-GB"/>
        </w:rPr>
        <w:t>It is a prerequisite that academic environments from several higher education institutions apply together for funding within the same thematic area. The national workshop taking place on 26 February aims to bring together Norwegian academic environments.</w:t>
      </w:r>
    </w:p>
    <w:p w14:paraId="58444A5E" w14:textId="66EEB3E1" w:rsidR="003C067B" w:rsidRPr="003C067B" w:rsidRDefault="003C067B" w:rsidP="003C067B">
      <w:pPr>
        <w:snapToGrid w:val="0"/>
        <w:spacing w:before="240" w:after="0" w:line="240" w:lineRule="auto"/>
        <w:rPr>
          <w:lang w:val="en-GB"/>
        </w:rPr>
      </w:pPr>
      <w:r w:rsidRPr="003C067B">
        <w:rPr>
          <w:lang w:val="en-GB"/>
        </w:rPr>
        <w:t xml:space="preserve">The maximum application amount is up to NOK 300,000 per working group per year. Funding is provided for two years. The funds may be used for various network activities, including </w:t>
      </w:r>
      <w:r w:rsidR="001703A3">
        <w:rPr>
          <w:lang w:val="en-GB"/>
        </w:rPr>
        <w:t>pre-</w:t>
      </w:r>
      <w:r w:rsidRPr="003C067B">
        <w:rPr>
          <w:lang w:val="en-GB"/>
        </w:rPr>
        <w:t>project funding</w:t>
      </w:r>
      <w:r w:rsidR="001703A3">
        <w:rPr>
          <w:lang w:val="en-GB"/>
        </w:rPr>
        <w:t xml:space="preserve"> and</w:t>
      </w:r>
      <w:r w:rsidRPr="003C067B">
        <w:rPr>
          <w:lang w:val="en-GB"/>
        </w:rPr>
        <w:t xml:space="preserve"> meetings.</w:t>
      </w:r>
    </w:p>
    <w:p w14:paraId="4EE5EB2A" w14:textId="77777777" w:rsidR="003C067B" w:rsidRPr="003C067B" w:rsidRDefault="003C067B" w:rsidP="003C067B">
      <w:pPr>
        <w:snapToGrid w:val="0"/>
        <w:spacing w:before="240" w:after="0" w:line="240" w:lineRule="auto"/>
        <w:rPr>
          <w:lang w:val="en-GB"/>
        </w:rPr>
      </w:pPr>
      <w:r w:rsidRPr="003C067B">
        <w:rPr>
          <w:lang w:val="en-GB"/>
        </w:rPr>
        <w:t xml:space="preserve">Applications must be submitted using the attached application form and sent to </w:t>
      </w:r>
      <w:r w:rsidRPr="003C067B">
        <w:rPr>
          <w:b/>
          <w:bCs/>
          <w:lang w:val="en-GB"/>
        </w:rPr>
        <w:t>nina.sindre@ntnu.no</w:t>
      </w:r>
      <w:r w:rsidRPr="003C067B">
        <w:rPr>
          <w:lang w:val="en-GB"/>
        </w:rPr>
        <w:t xml:space="preserve">, with a copy to </w:t>
      </w:r>
      <w:r w:rsidRPr="003C067B">
        <w:rPr>
          <w:b/>
          <w:bCs/>
          <w:lang w:val="en-GB"/>
        </w:rPr>
        <w:t>hallgerd.hoff.helgetun@ntnu.no</w:t>
      </w:r>
      <w:r w:rsidRPr="003C067B">
        <w:rPr>
          <w:lang w:val="en-GB"/>
        </w:rPr>
        <w:t>.</w:t>
      </w:r>
    </w:p>
    <w:p w14:paraId="030C0A0A" w14:textId="48845D48" w:rsidR="00D60C9F" w:rsidRPr="000C108B" w:rsidRDefault="00D60C9F" w:rsidP="003C067B">
      <w:pPr>
        <w:snapToGrid w:val="0"/>
        <w:spacing w:before="120" w:after="0" w:line="240" w:lineRule="auto"/>
        <w:rPr>
          <w:lang w:val="en-GB"/>
        </w:rPr>
      </w:pPr>
    </w:p>
    <w:p w14:paraId="015EE95F" w14:textId="77777777" w:rsidR="000C108B" w:rsidRPr="000C108B" w:rsidRDefault="000C108B">
      <w:pPr>
        <w:rPr>
          <w:b/>
          <w:bCs/>
          <w:lang w:val="en-GB"/>
        </w:rPr>
      </w:pPr>
      <w:r w:rsidRPr="000C108B">
        <w:rPr>
          <w:b/>
          <w:bCs/>
          <w:lang w:val="en-GB"/>
        </w:rPr>
        <w:br w:type="page"/>
      </w:r>
    </w:p>
    <w:p w14:paraId="52357CDC" w14:textId="09B50A75" w:rsidR="000C108B" w:rsidRPr="000C108B" w:rsidRDefault="000C108B" w:rsidP="000C108B">
      <w:pPr>
        <w:snapToGrid w:val="0"/>
        <w:spacing w:before="120" w:after="0" w:line="240" w:lineRule="auto"/>
        <w:rPr>
          <w:b/>
          <w:bCs/>
          <w:sz w:val="28"/>
          <w:szCs w:val="28"/>
          <w:lang w:val="en-GB"/>
        </w:rPr>
      </w:pPr>
      <w:r w:rsidRPr="000C108B">
        <w:rPr>
          <w:b/>
          <w:bCs/>
          <w:sz w:val="28"/>
          <w:szCs w:val="28"/>
          <w:lang w:val="en-GB"/>
        </w:rPr>
        <w:lastRenderedPageBreak/>
        <w:t>Application for Network Funding from NorPal</w:t>
      </w:r>
    </w:p>
    <w:p w14:paraId="3F379A82" w14:textId="77777777" w:rsidR="000C108B" w:rsidRDefault="000C108B" w:rsidP="000C108B">
      <w:pPr>
        <w:snapToGrid w:val="0"/>
        <w:spacing w:before="240" w:after="0" w:line="240" w:lineRule="auto"/>
        <w:ind w:right="-45"/>
        <w:rPr>
          <w:sz w:val="24"/>
          <w:szCs w:val="24"/>
          <w:lang w:val="en-GB"/>
        </w:rPr>
      </w:pPr>
      <w:r w:rsidRPr="000C108B">
        <w:rPr>
          <w:b/>
          <w:bCs/>
          <w:sz w:val="24"/>
          <w:szCs w:val="24"/>
          <w:lang w:val="en-GB"/>
        </w:rPr>
        <w:t>Application deadline: 26 March 2026.</w:t>
      </w:r>
    </w:p>
    <w:p w14:paraId="6903E21B" w14:textId="58B79DFC" w:rsidR="000C108B" w:rsidRPr="000C108B" w:rsidRDefault="000C108B" w:rsidP="000C108B">
      <w:pPr>
        <w:snapToGrid w:val="0"/>
        <w:spacing w:before="240" w:after="0" w:line="240" w:lineRule="auto"/>
        <w:ind w:right="95"/>
        <w:rPr>
          <w:sz w:val="24"/>
          <w:szCs w:val="24"/>
          <w:lang w:val="en-GB"/>
        </w:rPr>
      </w:pPr>
      <w:r w:rsidRPr="000C108B">
        <w:rPr>
          <w:sz w:val="24"/>
          <w:szCs w:val="24"/>
          <w:lang w:val="en-GB"/>
        </w:rPr>
        <w:t>Applications must be sent to nina.sindre@ntnu.no, with a copy to</w:t>
      </w:r>
      <w:r>
        <w:rPr>
          <w:sz w:val="24"/>
          <w:szCs w:val="24"/>
          <w:lang w:val="en-GB"/>
        </w:rPr>
        <w:t xml:space="preserve"> </w:t>
      </w:r>
      <w:r w:rsidRPr="000C108B">
        <w:rPr>
          <w:sz w:val="24"/>
          <w:szCs w:val="24"/>
          <w:lang w:val="en-GB"/>
        </w:rPr>
        <w:t>hallgerd.hoff.helgetun@ntnu.no.</w:t>
      </w:r>
    </w:p>
    <w:p w14:paraId="0822D41D" w14:textId="77777777" w:rsidR="00256470" w:rsidRPr="000C108B" w:rsidRDefault="00256470" w:rsidP="00256470">
      <w:pPr>
        <w:snapToGrid w:val="0"/>
        <w:spacing w:before="120" w:after="0" w:line="240" w:lineRule="auto"/>
        <w:rPr>
          <w:sz w:val="20"/>
          <w:szCs w:val="20"/>
          <w:lang w:val="en-GB"/>
        </w:rPr>
      </w:pPr>
    </w:p>
    <w:tbl>
      <w:tblPr>
        <w:tblStyle w:val="Tabellrutenett"/>
        <w:tblW w:w="0" w:type="auto"/>
        <w:tblLook w:val="04A0" w:firstRow="1" w:lastRow="0" w:firstColumn="1" w:lastColumn="0" w:noHBand="0" w:noVBand="1"/>
      </w:tblPr>
      <w:tblGrid>
        <w:gridCol w:w="9016"/>
      </w:tblGrid>
      <w:tr w:rsidR="00256470" w:rsidRPr="000C108B" w14:paraId="3CB82236" w14:textId="77777777" w:rsidTr="009D7DE8">
        <w:tc>
          <w:tcPr>
            <w:tcW w:w="9016" w:type="dxa"/>
            <w:shd w:val="clear" w:color="auto" w:fill="D9E2F3" w:themeFill="accent1" w:themeFillTint="33"/>
          </w:tcPr>
          <w:p w14:paraId="3B300838" w14:textId="04BF7250" w:rsidR="00256470" w:rsidRPr="000C108B" w:rsidRDefault="000C108B" w:rsidP="009D7DE8">
            <w:pPr>
              <w:snapToGrid w:val="0"/>
              <w:spacing w:before="120"/>
              <w:rPr>
                <w:b/>
                <w:bCs/>
                <w:sz w:val="20"/>
                <w:szCs w:val="20"/>
                <w:lang w:val="en-GB"/>
              </w:rPr>
            </w:pPr>
            <w:r w:rsidRPr="000C108B">
              <w:rPr>
                <w:b/>
                <w:bCs/>
                <w:lang w:val="en-GB"/>
              </w:rPr>
              <w:t>Title and acronym of the working group</w:t>
            </w:r>
            <w:r w:rsidR="00256470" w:rsidRPr="000C108B">
              <w:rPr>
                <w:b/>
                <w:bCs/>
                <w:sz w:val="20"/>
                <w:szCs w:val="20"/>
                <w:lang w:val="en-GB"/>
              </w:rPr>
              <w:t>:</w:t>
            </w:r>
          </w:p>
        </w:tc>
      </w:tr>
      <w:tr w:rsidR="00256470" w:rsidRPr="000C108B" w14:paraId="618B17C5" w14:textId="77777777" w:rsidTr="009D7DE8">
        <w:tc>
          <w:tcPr>
            <w:tcW w:w="9016" w:type="dxa"/>
          </w:tcPr>
          <w:p w14:paraId="7F055199" w14:textId="77777777" w:rsidR="00256470" w:rsidRPr="000C108B" w:rsidRDefault="00256470" w:rsidP="009D7DE8">
            <w:pPr>
              <w:snapToGrid w:val="0"/>
              <w:spacing w:before="120"/>
              <w:rPr>
                <w:b/>
                <w:bCs/>
                <w:sz w:val="20"/>
                <w:szCs w:val="20"/>
                <w:lang w:val="en-GB"/>
              </w:rPr>
            </w:pPr>
          </w:p>
          <w:p w14:paraId="0A184E93" w14:textId="77777777" w:rsidR="00256470" w:rsidRPr="000C108B" w:rsidRDefault="00256470" w:rsidP="009D7DE8">
            <w:pPr>
              <w:snapToGrid w:val="0"/>
              <w:spacing w:before="120"/>
              <w:rPr>
                <w:b/>
                <w:bCs/>
                <w:sz w:val="20"/>
                <w:szCs w:val="20"/>
                <w:lang w:val="en-GB"/>
              </w:rPr>
            </w:pPr>
          </w:p>
        </w:tc>
      </w:tr>
      <w:tr w:rsidR="00256470" w:rsidRPr="000C108B" w14:paraId="35A7F87A" w14:textId="77777777" w:rsidTr="009D7DE8">
        <w:tc>
          <w:tcPr>
            <w:tcW w:w="9016" w:type="dxa"/>
            <w:shd w:val="clear" w:color="auto" w:fill="D9E2F3" w:themeFill="accent1" w:themeFillTint="33"/>
          </w:tcPr>
          <w:p w14:paraId="301BCD83" w14:textId="7937007D" w:rsidR="00256470" w:rsidRPr="000C108B" w:rsidRDefault="000C108B" w:rsidP="009D7DE8">
            <w:pPr>
              <w:snapToGrid w:val="0"/>
              <w:spacing w:before="120"/>
              <w:rPr>
                <w:b/>
                <w:bCs/>
                <w:sz w:val="20"/>
                <w:szCs w:val="20"/>
                <w:lang w:val="en-GB"/>
              </w:rPr>
            </w:pPr>
            <w:r w:rsidRPr="000C108B">
              <w:rPr>
                <w:b/>
                <w:bCs/>
                <w:lang w:val="en-GB"/>
              </w:rPr>
              <w:t>Working group leader, project participants (name, position, institution) and organisation</w:t>
            </w:r>
            <w:r w:rsidR="00256470" w:rsidRPr="000C108B">
              <w:rPr>
                <w:b/>
                <w:bCs/>
                <w:sz w:val="20"/>
                <w:szCs w:val="20"/>
                <w:lang w:val="en-GB"/>
              </w:rPr>
              <w:t>:</w:t>
            </w:r>
          </w:p>
        </w:tc>
      </w:tr>
      <w:tr w:rsidR="00256470" w:rsidRPr="000C108B" w14:paraId="6A2DDCB2" w14:textId="77777777" w:rsidTr="009D7DE8">
        <w:tc>
          <w:tcPr>
            <w:tcW w:w="9016" w:type="dxa"/>
          </w:tcPr>
          <w:p w14:paraId="07F42AA7" w14:textId="77777777" w:rsidR="00256470" w:rsidRPr="000C108B" w:rsidRDefault="00256470" w:rsidP="009D7DE8">
            <w:pPr>
              <w:snapToGrid w:val="0"/>
              <w:spacing w:before="120"/>
              <w:rPr>
                <w:b/>
                <w:bCs/>
                <w:sz w:val="20"/>
                <w:szCs w:val="20"/>
                <w:lang w:val="en-GB"/>
              </w:rPr>
            </w:pPr>
          </w:p>
          <w:p w14:paraId="3D150356" w14:textId="77777777" w:rsidR="00256470" w:rsidRPr="000C108B" w:rsidRDefault="00256470" w:rsidP="009D7DE8">
            <w:pPr>
              <w:snapToGrid w:val="0"/>
              <w:spacing w:before="120"/>
              <w:rPr>
                <w:b/>
                <w:bCs/>
                <w:sz w:val="20"/>
                <w:szCs w:val="20"/>
                <w:lang w:val="en-GB"/>
              </w:rPr>
            </w:pPr>
          </w:p>
        </w:tc>
      </w:tr>
      <w:tr w:rsidR="00256470" w:rsidRPr="000C108B" w14:paraId="37B023CA" w14:textId="77777777" w:rsidTr="009D7DE8">
        <w:tc>
          <w:tcPr>
            <w:tcW w:w="9016" w:type="dxa"/>
            <w:shd w:val="clear" w:color="auto" w:fill="D9E2F3" w:themeFill="accent1" w:themeFillTint="33"/>
          </w:tcPr>
          <w:p w14:paraId="7C788C6D" w14:textId="1B3EB10D" w:rsidR="00256470" w:rsidRPr="000C108B" w:rsidRDefault="000C108B" w:rsidP="009D7DE8">
            <w:pPr>
              <w:snapToGrid w:val="0"/>
              <w:spacing w:before="120"/>
              <w:rPr>
                <w:b/>
                <w:bCs/>
                <w:sz w:val="20"/>
                <w:szCs w:val="20"/>
                <w:lang w:val="en-GB"/>
              </w:rPr>
            </w:pPr>
            <w:r w:rsidRPr="000C108B">
              <w:rPr>
                <w:b/>
                <w:bCs/>
                <w:lang w:val="en-GB"/>
              </w:rPr>
              <w:t>The working group’s anchoring in concrete and expressed needs within higher education and research in Palestine</w:t>
            </w:r>
            <w:r w:rsidR="00256470" w:rsidRPr="000C108B">
              <w:rPr>
                <w:b/>
                <w:bCs/>
                <w:sz w:val="20"/>
                <w:szCs w:val="20"/>
                <w:lang w:val="en-GB"/>
              </w:rPr>
              <w:t>:</w:t>
            </w:r>
          </w:p>
        </w:tc>
      </w:tr>
      <w:tr w:rsidR="00256470" w:rsidRPr="000C108B" w14:paraId="52BEC6D6" w14:textId="77777777" w:rsidTr="009D7DE8">
        <w:tc>
          <w:tcPr>
            <w:tcW w:w="9016" w:type="dxa"/>
          </w:tcPr>
          <w:p w14:paraId="7B59CF53" w14:textId="77777777" w:rsidR="00256470" w:rsidRPr="000C108B" w:rsidRDefault="00256470" w:rsidP="009D7DE8">
            <w:pPr>
              <w:tabs>
                <w:tab w:val="left" w:pos="3969"/>
              </w:tabs>
              <w:snapToGrid w:val="0"/>
              <w:spacing w:before="60"/>
              <w:rPr>
                <w:b/>
                <w:bCs/>
                <w:sz w:val="20"/>
                <w:szCs w:val="20"/>
                <w:lang w:val="en-GB"/>
              </w:rPr>
            </w:pPr>
          </w:p>
          <w:p w14:paraId="3F73A647" w14:textId="77777777" w:rsidR="00256470" w:rsidRPr="000C108B" w:rsidRDefault="00256470" w:rsidP="009D7DE8">
            <w:pPr>
              <w:snapToGrid w:val="0"/>
              <w:spacing w:before="120"/>
              <w:rPr>
                <w:b/>
                <w:bCs/>
                <w:sz w:val="20"/>
                <w:szCs w:val="20"/>
                <w:lang w:val="en-GB"/>
              </w:rPr>
            </w:pPr>
          </w:p>
        </w:tc>
      </w:tr>
      <w:tr w:rsidR="00256470" w:rsidRPr="000C108B" w14:paraId="303C9011" w14:textId="77777777" w:rsidTr="009D7DE8">
        <w:tc>
          <w:tcPr>
            <w:tcW w:w="9016" w:type="dxa"/>
            <w:shd w:val="clear" w:color="auto" w:fill="D9E2F3" w:themeFill="accent1" w:themeFillTint="33"/>
          </w:tcPr>
          <w:p w14:paraId="7BDEDFCC" w14:textId="061B4F88" w:rsidR="00256470" w:rsidRPr="000C108B" w:rsidRDefault="000C108B" w:rsidP="009D7DE8">
            <w:pPr>
              <w:snapToGrid w:val="0"/>
              <w:spacing w:before="120"/>
              <w:rPr>
                <w:b/>
                <w:bCs/>
                <w:sz w:val="20"/>
                <w:szCs w:val="20"/>
                <w:lang w:val="en-GB"/>
              </w:rPr>
            </w:pPr>
            <w:r w:rsidRPr="000C108B">
              <w:rPr>
                <w:b/>
                <w:bCs/>
                <w:lang w:val="en-GB"/>
              </w:rPr>
              <w:t>Description of the working group’s goals and activities, and how these contribute to strengthening and rebuilding higher education and research in Palestine</w:t>
            </w:r>
            <w:r w:rsidR="00256470" w:rsidRPr="000C108B">
              <w:rPr>
                <w:b/>
                <w:bCs/>
                <w:sz w:val="20"/>
                <w:szCs w:val="20"/>
                <w:lang w:val="en-GB"/>
              </w:rPr>
              <w:t>:</w:t>
            </w:r>
          </w:p>
        </w:tc>
      </w:tr>
      <w:tr w:rsidR="00256470" w:rsidRPr="000C108B" w14:paraId="672ED162" w14:textId="77777777" w:rsidTr="009D7DE8">
        <w:tc>
          <w:tcPr>
            <w:tcW w:w="9016" w:type="dxa"/>
          </w:tcPr>
          <w:p w14:paraId="3F13C436" w14:textId="77777777" w:rsidR="00256470" w:rsidRPr="000C108B" w:rsidRDefault="00256470" w:rsidP="009D7DE8">
            <w:pPr>
              <w:snapToGrid w:val="0"/>
              <w:spacing w:before="120"/>
              <w:rPr>
                <w:b/>
                <w:bCs/>
                <w:sz w:val="20"/>
                <w:szCs w:val="20"/>
                <w:lang w:val="en-GB"/>
              </w:rPr>
            </w:pPr>
          </w:p>
          <w:p w14:paraId="745B21DB" w14:textId="77777777" w:rsidR="00256470" w:rsidRPr="000C108B" w:rsidRDefault="00256470" w:rsidP="009D7DE8">
            <w:pPr>
              <w:snapToGrid w:val="0"/>
              <w:spacing w:before="120"/>
              <w:rPr>
                <w:b/>
                <w:bCs/>
                <w:sz w:val="20"/>
                <w:szCs w:val="20"/>
                <w:lang w:val="en-GB"/>
              </w:rPr>
            </w:pPr>
          </w:p>
        </w:tc>
      </w:tr>
      <w:tr w:rsidR="00256470" w:rsidRPr="000C108B" w14:paraId="0E5E14E6" w14:textId="77777777" w:rsidTr="009D7DE8">
        <w:tc>
          <w:tcPr>
            <w:tcW w:w="9016" w:type="dxa"/>
            <w:shd w:val="clear" w:color="auto" w:fill="D9E2F3" w:themeFill="accent1" w:themeFillTint="33"/>
          </w:tcPr>
          <w:p w14:paraId="0A237C24" w14:textId="1B2E665A" w:rsidR="00256470" w:rsidRPr="000C108B" w:rsidRDefault="000C108B" w:rsidP="009D7DE8">
            <w:pPr>
              <w:snapToGrid w:val="0"/>
              <w:spacing w:before="120"/>
              <w:rPr>
                <w:b/>
                <w:bCs/>
                <w:sz w:val="20"/>
                <w:szCs w:val="20"/>
                <w:lang w:val="en-GB"/>
              </w:rPr>
            </w:pPr>
            <w:r w:rsidRPr="000C108B">
              <w:rPr>
                <w:b/>
                <w:bCs/>
                <w:lang w:val="en-GB"/>
              </w:rPr>
              <w:t>Established or planned contact and cooperation with partners in Palestine:</w:t>
            </w:r>
          </w:p>
        </w:tc>
      </w:tr>
      <w:tr w:rsidR="00256470" w:rsidRPr="000C108B" w14:paraId="7B557481" w14:textId="77777777" w:rsidTr="009D7DE8">
        <w:tc>
          <w:tcPr>
            <w:tcW w:w="9016" w:type="dxa"/>
          </w:tcPr>
          <w:p w14:paraId="2331A338" w14:textId="77777777" w:rsidR="00256470" w:rsidRPr="000C108B" w:rsidRDefault="00256470" w:rsidP="009D7DE8">
            <w:pPr>
              <w:snapToGrid w:val="0"/>
              <w:spacing w:before="120"/>
              <w:rPr>
                <w:b/>
                <w:bCs/>
                <w:sz w:val="20"/>
                <w:szCs w:val="20"/>
                <w:lang w:val="en-GB"/>
              </w:rPr>
            </w:pPr>
          </w:p>
          <w:p w14:paraId="424F67FF" w14:textId="77777777" w:rsidR="00256470" w:rsidRPr="000C108B" w:rsidRDefault="00256470" w:rsidP="009D7DE8">
            <w:pPr>
              <w:snapToGrid w:val="0"/>
              <w:spacing w:before="120"/>
              <w:rPr>
                <w:b/>
                <w:bCs/>
                <w:sz w:val="20"/>
                <w:szCs w:val="20"/>
                <w:lang w:val="en-GB"/>
              </w:rPr>
            </w:pPr>
          </w:p>
        </w:tc>
      </w:tr>
      <w:tr w:rsidR="00256470" w:rsidRPr="000C108B" w14:paraId="3A8D19E8" w14:textId="77777777" w:rsidTr="009D7DE8">
        <w:tc>
          <w:tcPr>
            <w:tcW w:w="9016" w:type="dxa"/>
            <w:shd w:val="clear" w:color="auto" w:fill="D9E2F3" w:themeFill="accent1" w:themeFillTint="33"/>
          </w:tcPr>
          <w:p w14:paraId="18637506" w14:textId="59AEDDF7" w:rsidR="00256470" w:rsidRPr="000C108B" w:rsidRDefault="000C108B" w:rsidP="009D7DE8">
            <w:pPr>
              <w:tabs>
                <w:tab w:val="left" w:pos="3969"/>
              </w:tabs>
              <w:snapToGrid w:val="0"/>
              <w:spacing w:before="60"/>
              <w:rPr>
                <w:b/>
                <w:bCs/>
                <w:sz w:val="20"/>
                <w:szCs w:val="20"/>
                <w:lang w:val="en-GB"/>
              </w:rPr>
            </w:pPr>
            <w:r w:rsidRPr="000C108B">
              <w:rPr>
                <w:b/>
                <w:bCs/>
                <w:lang w:val="en-GB"/>
              </w:rPr>
              <w:t>Any additional partners or relevance for other initiatives</w:t>
            </w:r>
            <w:r w:rsidR="00256470" w:rsidRPr="000C108B">
              <w:rPr>
                <w:b/>
                <w:bCs/>
                <w:sz w:val="20"/>
                <w:szCs w:val="20"/>
                <w:lang w:val="en-GB"/>
              </w:rPr>
              <w:t>:</w:t>
            </w:r>
          </w:p>
        </w:tc>
      </w:tr>
      <w:tr w:rsidR="00256470" w:rsidRPr="000C108B" w14:paraId="59F8402A" w14:textId="77777777" w:rsidTr="009D7DE8">
        <w:tc>
          <w:tcPr>
            <w:tcW w:w="9016" w:type="dxa"/>
          </w:tcPr>
          <w:p w14:paraId="57E45FDF" w14:textId="77777777" w:rsidR="00256470" w:rsidRPr="000C108B" w:rsidRDefault="00256470" w:rsidP="009D7DE8">
            <w:pPr>
              <w:snapToGrid w:val="0"/>
              <w:spacing w:before="120"/>
              <w:rPr>
                <w:b/>
                <w:bCs/>
                <w:sz w:val="20"/>
                <w:szCs w:val="20"/>
                <w:lang w:val="en-GB"/>
              </w:rPr>
            </w:pPr>
          </w:p>
          <w:p w14:paraId="6F3EDEDA" w14:textId="77777777" w:rsidR="00256470" w:rsidRPr="000C108B" w:rsidRDefault="00256470" w:rsidP="009D7DE8">
            <w:pPr>
              <w:snapToGrid w:val="0"/>
              <w:spacing w:before="120"/>
              <w:rPr>
                <w:b/>
                <w:bCs/>
                <w:sz w:val="20"/>
                <w:szCs w:val="20"/>
                <w:lang w:val="en-GB"/>
              </w:rPr>
            </w:pPr>
          </w:p>
        </w:tc>
      </w:tr>
      <w:tr w:rsidR="00256470" w:rsidRPr="000C108B" w14:paraId="73BE80FA" w14:textId="77777777" w:rsidTr="009D7DE8">
        <w:tc>
          <w:tcPr>
            <w:tcW w:w="9016" w:type="dxa"/>
            <w:shd w:val="clear" w:color="auto" w:fill="D9E2F3" w:themeFill="accent1" w:themeFillTint="33"/>
          </w:tcPr>
          <w:p w14:paraId="23C2658C" w14:textId="193D814C" w:rsidR="00256470" w:rsidRPr="000C108B" w:rsidRDefault="000C108B" w:rsidP="009D7DE8">
            <w:pPr>
              <w:snapToGrid w:val="0"/>
              <w:spacing w:before="120"/>
              <w:rPr>
                <w:b/>
                <w:bCs/>
                <w:sz w:val="20"/>
                <w:szCs w:val="20"/>
                <w:lang w:val="en-GB"/>
              </w:rPr>
            </w:pPr>
            <w:r w:rsidRPr="000C108B">
              <w:rPr>
                <w:b/>
                <w:bCs/>
                <w:lang w:val="en-GB"/>
              </w:rPr>
              <w:t>Any other rel</w:t>
            </w:r>
            <w:r>
              <w:rPr>
                <w:b/>
                <w:bCs/>
                <w:lang w:val="en-GB"/>
              </w:rPr>
              <w:t>e</w:t>
            </w:r>
            <w:r w:rsidRPr="000C108B">
              <w:rPr>
                <w:b/>
                <w:bCs/>
                <w:lang w:val="en-GB"/>
              </w:rPr>
              <w:t>vant information</w:t>
            </w:r>
            <w:r w:rsidR="00256470" w:rsidRPr="000C108B">
              <w:rPr>
                <w:b/>
                <w:bCs/>
                <w:sz w:val="20"/>
                <w:szCs w:val="20"/>
                <w:lang w:val="en-GB"/>
              </w:rPr>
              <w:t>:</w:t>
            </w:r>
          </w:p>
        </w:tc>
      </w:tr>
      <w:tr w:rsidR="00256470" w:rsidRPr="000C108B" w14:paraId="6B3EC46C" w14:textId="77777777" w:rsidTr="009D7DE8">
        <w:tc>
          <w:tcPr>
            <w:tcW w:w="9016" w:type="dxa"/>
          </w:tcPr>
          <w:p w14:paraId="7B599E60" w14:textId="77777777" w:rsidR="00256470" w:rsidRPr="000C108B" w:rsidRDefault="00256470" w:rsidP="009D7DE8">
            <w:pPr>
              <w:snapToGrid w:val="0"/>
              <w:spacing w:before="120"/>
              <w:rPr>
                <w:b/>
                <w:bCs/>
                <w:sz w:val="20"/>
                <w:szCs w:val="20"/>
                <w:lang w:val="en-GB"/>
              </w:rPr>
            </w:pPr>
          </w:p>
          <w:p w14:paraId="381DD345" w14:textId="77777777" w:rsidR="00256470" w:rsidRPr="000C108B" w:rsidRDefault="00256470" w:rsidP="009D7DE8">
            <w:pPr>
              <w:snapToGrid w:val="0"/>
              <w:spacing w:before="120"/>
              <w:rPr>
                <w:b/>
                <w:bCs/>
                <w:sz w:val="20"/>
                <w:szCs w:val="20"/>
                <w:lang w:val="en-GB"/>
              </w:rPr>
            </w:pPr>
          </w:p>
        </w:tc>
      </w:tr>
      <w:tr w:rsidR="00256470" w:rsidRPr="000C108B" w14:paraId="0E26CE9C" w14:textId="77777777" w:rsidTr="009D7DE8">
        <w:tc>
          <w:tcPr>
            <w:tcW w:w="9016" w:type="dxa"/>
            <w:shd w:val="clear" w:color="auto" w:fill="D9E2F3" w:themeFill="accent1" w:themeFillTint="33"/>
          </w:tcPr>
          <w:p w14:paraId="62025293" w14:textId="63AC27D5" w:rsidR="00256470" w:rsidRPr="000C108B" w:rsidRDefault="000C108B" w:rsidP="009D7DE8">
            <w:pPr>
              <w:snapToGrid w:val="0"/>
              <w:spacing w:before="120"/>
              <w:rPr>
                <w:lang w:val="en-GB"/>
              </w:rPr>
            </w:pPr>
            <w:r w:rsidRPr="000C108B">
              <w:rPr>
                <w:b/>
                <w:bCs/>
                <w:lang w:val="en-GB"/>
              </w:rPr>
              <w:t>Requested funding amount and budget:</w:t>
            </w:r>
          </w:p>
        </w:tc>
      </w:tr>
      <w:tr w:rsidR="00256470" w:rsidRPr="000C108B" w14:paraId="7F0BD9B0" w14:textId="77777777" w:rsidTr="009D7DE8">
        <w:tc>
          <w:tcPr>
            <w:tcW w:w="9016" w:type="dxa"/>
          </w:tcPr>
          <w:p w14:paraId="7384E384" w14:textId="77777777" w:rsidR="00256470" w:rsidRPr="000C108B" w:rsidRDefault="00256470" w:rsidP="009D7DE8">
            <w:pPr>
              <w:snapToGrid w:val="0"/>
              <w:spacing w:before="120"/>
              <w:rPr>
                <w:b/>
                <w:bCs/>
                <w:sz w:val="20"/>
                <w:szCs w:val="20"/>
                <w:lang w:val="en-GB"/>
              </w:rPr>
            </w:pPr>
          </w:p>
          <w:p w14:paraId="4C193B7C" w14:textId="77777777" w:rsidR="00256470" w:rsidRPr="000C108B" w:rsidRDefault="00256470" w:rsidP="009D7DE8">
            <w:pPr>
              <w:snapToGrid w:val="0"/>
              <w:spacing w:before="120"/>
              <w:rPr>
                <w:b/>
                <w:bCs/>
                <w:sz w:val="20"/>
                <w:szCs w:val="20"/>
                <w:lang w:val="en-GB"/>
              </w:rPr>
            </w:pPr>
          </w:p>
        </w:tc>
      </w:tr>
    </w:tbl>
    <w:p w14:paraId="04AB2662" w14:textId="77777777" w:rsidR="00256470" w:rsidRPr="000C108B" w:rsidRDefault="00256470" w:rsidP="00256470">
      <w:pPr>
        <w:snapToGrid w:val="0"/>
        <w:spacing w:before="120" w:after="0" w:line="240" w:lineRule="auto"/>
        <w:rPr>
          <w:b/>
          <w:bCs/>
          <w:sz w:val="20"/>
          <w:szCs w:val="20"/>
          <w:lang w:val="en-GB"/>
        </w:rPr>
      </w:pPr>
    </w:p>
    <w:p w14:paraId="04A1C872" w14:textId="77777777" w:rsidR="00256470" w:rsidRPr="000C108B" w:rsidRDefault="00256470" w:rsidP="003C067B">
      <w:pPr>
        <w:snapToGrid w:val="0"/>
        <w:spacing w:before="120" w:after="0" w:line="240" w:lineRule="auto"/>
        <w:rPr>
          <w:lang w:val="en-GB"/>
        </w:rPr>
      </w:pPr>
    </w:p>
    <w:sectPr w:rsidR="00256470" w:rsidRPr="000C1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14EB4"/>
    <w:multiLevelType w:val="multilevel"/>
    <w:tmpl w:val="20A0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5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9F"/>
    <w:rsid w:val="000C108B"/>
    <w:rsid w:val="001703A3"/>
    <w:rsid w:val="0023752A"/>
    <w:rsid w:val="00256470"/>
    <w:rsid w:val="003C067B"/>
    <w:rsid w:val="00454716"/>
    <w:rsid w:val="00814D13"/>
    <w:rsid w:val="00940D67"/>
    <w:rsid w:val="009B0FDE"/>
    <w:rsid w:val="00BE5501"/>
    <w:rsid w:val="00D60C9F"/>
    <w:rsid w:val="00F04EA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8CA6"/>
  <w15:chartTrackingRefBased/>
  <w15:docId w15:val="{A192D280-3513-4B62-ABF7-854380DB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60C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D60C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D60C9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D60C9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D60C9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D60C9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60C9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60C9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60C9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60C9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D60C9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D60C9F"/>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D60C9F"/>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D60C9F"/>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D60C9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60C9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60C9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60C9F"/>
    <w:rPr>
      <w:rFonts w:eastAsiaTheme="majorEastAsia" w:cstheme="majorBidi"/>
      <w:color w:val="272727" w:themeColor="text1" w:themeTint="D8"/>
    </w:rPr>
  </w:style>
  <w:style w:type="paragraph" w:styleId="Tittel">
    <w:name w:val="Title"/>
    <w:basedOn w:val="Normal"/>
    <w:next w:val="Normal"/>
    <w:link w:val="TittelTegn"/>
    <w:uiPriority w:val="10"/>
    <w:qFormat/>
    <w:rsid w:val="00D60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60C9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60C9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60C9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60C9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60C9F"/>
    <w:rPr>
      <w:i/>
      <w:iCs/>
      <w:color w:val="404040" w:themeColor="text1" w:themeTint="BF"/>
    </w:rPr>
  </w:style>
  <w:style w:type="paragraph" w:styleId="Listeavsnitt">
    <w:name w:val="List Paragraph"/>
    <w:basedOn w:val="Normal"/>
    <w:uiPriority w:val="34"/>
    <w:qFormat/>
    <w:rsid w:val="00D60C9F"/>
    <w:pPr>
      <w:ind w:left="720"/>
      <w:contextualSpacing/>
    </w:pPr>
  </w:style>
  <w:style w:type="character" w:styleId="Sterkutheving">
    <w:name w:val="Intense Emphasis"/>
    <w:basedOn w:val="Standardskriftforavsnitt"/>
    <w:uiPriority w:val="21"/>
    <w:qFormat/>
    <w:rsid w:val="00D60C9F"/>
    <w:rPr>
      <w:i/>
      <w:iCs/>
      <w:color w:val="2F5496" w:themeColor="accent1" w:themeShade="BF"/>
    </w:rPr>
  </w:style>
  <w:style w:type="paragraph" w:styleId="Sterktsitat">
    <w:name w:val="Intense Quote"/>
    <w:basedOn w:val="Normal"/>
    <w:next w:val="Normal"/>
    <w:link w:val="SterktsitatTegn"/>
    <w:uiPriority w:val="30"/>
    <w:qFormat/>
    <w:rsid w:val="00D60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D60C9F"/>
    <w:rPr>
      <w:i/>
      <w:iCs/>
      <w:color w:val="2F5496" w:themeColor="accent1" w:themeShade="BF"/>
    </w:rPr>
  </w:style>
  <w:style w:type="character" w:styleId="Sterkreferanse">
    <w:name w:val="Intense Reference"/>
    <w:basedOn w:val="Standardskriftforavsnitt"/>
    <w:uiPriority w:val="32"/>
    <w:qFormat/>
    <w:rsid w:val="00D60C9F"/>
    <w:rPr>
      <w:b/>
      <w:bCs/>
      <w:smallCaps/>
      <w:color w:val="2F5496" w:themeColor="accent1" w:themeShade="BF"/>
      <w:spacing w:val="5"/>
    </w:rPr>
  </w:style>
  <w:style w:type="character" w:styleId="Hyperkobling">
    <w:name w:val="Hyperlink"/>
    <w:basedOn w:val="Standardskriftforavsnitt"/>
    <w:uiPriority w:val="99"/>
    <w:unhideWhenUsed/>
    <w:rsid w:val="00256470"/>
    <w:rPr>
      <w:color w:val="0563C1" w:themeColor="hyperlink"/>
      <w:u w:val="single"/>
    </w:rPr>
  </w:style>
  <w:style w:type="table" w:styleId="Tabellrutenett">
    <w:name w:val="Table Grid"/>
    <w:basedOn w:val="Vanligtabell"/>
    <w:uiPriority w:val="39"/>
    <w:rsid w:val="00256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2100</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Elisabeth Sindre</dc:creator>
  <cp:keywords/>
  <dc:description/>
  <cp:lastModifiedBy>Nina Elisabeth Sindre</cp:lastModifiedBy>
  <cp:revision>6</cp:revision>
  <dcterms:created xsi:type="dcterms:W3CDTF">2026-02-06T11:37:00Z</dcterms:created>
  <dcterms:modified xsi:type="dcterms:W3CDTF">2026-02-10T14:01:00Z</dcterms:modified>
</cp:coreProperties>
</file>