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A4E72" w14:textId="0B3DED64" w:rsidR="00373C38" w:rsidRPr="008576BF" w:rsidRDefault="005F0DC4" w:rsidP="00373C38">
      <w:pPr>
        <w:pStyle w:val="NormalWeb"/>
        <w:spacing w:before="0" w:beforeAutospacing="0" w:after="0" w:afterAutospacing="0"/>
        <w:rPr>
          <w:rFonts w:ascii="Calibri" w:hAnsi="Calibri" w:cs="Calibri"/>
          <w:color w:val="000000"/>
          <w:sz w:val="28"/>
          <w:szCs w:val="28"/>
        </w:rPr>
      </w:pPr>
      <w:r w:rsidRPr="008576BF">
        <w:rPr>
          <w:rFonts w:ascii="Calibri" w:hAnsi="Calibri" w:cs="Calibri"/>
          <w:b/>
          <w:bCs/>
          <w:color w:val="000000"/>
          <w:sz w:val="28"/>
          <w:szCs w:val="28"/>
        </w:rPr>
        <w:t xml:space="preserve">Discovery and Development of Proximity Inducing Agents: </w:t>
      </w:r>
      <w:r w:rsidR="00373C38" w:rsidRPr="008576BF">
        <w:rPr>
          <w:rFonts w:ascii="Calibri" w:hAnsi="Calibri" w:cs="Calibri"/>
          <w:b/>
          <w:bCs/>
          <w:color w:val="000000"/>
          <w:sz w:val="28"/>
          <w:szCs w:val="28"/>
        </w:rPr>
        <w:t xml:space="preserve">Aurigene Oncology’s Contribution to </w:t>
      </w:r>
      <w:r w:rsidRPr="008576BF">
        <w:rPr>
          <w:rFonts w:ascii="Calibri" w:hAnsi="Calibri" w:cs="Calibri"/>
          <w:b/>
          <w:bCs/>
          <w:color w:val="000000"/>
          <w:sz w:val="28"/>
          <w:szCs w:val="28"/>
        </w:rPr>
        <w:t xml:space="preserve">Neo-PPI </w:t>
      </w:r>
      <w:r w:rsidR="00373C38" w:rsidRPr="008576BF">
        <w:rPr>
          <w:rFonts w:ascii="Calibri" w:hAnsi="Calibri" w:cs="Calibri"/>
          <w:b/>
          <w:bCs/>
          <w:color w:val="000000"/>
          <w:sz w:val="28"/>
          <w:szCs w:val="28"/>
        </w:rPr>
        <w:t>Driven Pharmacology</w:t>
      </w:r>
    </w:p>
    <w:p w14:paraId="1A0F8E61" w14:textId="77777777" w:rsidR="00B14EA0" w:rsidRDefault="00B14EA0" w:rsidP="00B14EA0">
      <w:pPr>
        <w:pStyle w:val="NormalWeb"/>
        <w:spacing w:line="300" w:lineRule="atLeast"/>
        <w:rPr>
          <w:rFonts w:ascii="Segoe UI" w:hAnsi="Segoe UI" w:cs="Segoe UI"/>
          <w:color w:val="000000"/>
          <w:sz w:val="21"/>
          <w:szCs w:val="21"/>
        </w:rPr>
      </w:pPr>
      <w:r>
        <w:rPr>
          <w:rStyle w:val="Strong"/>
          <w:rFonts w:ascii="Segoe UI" w:eastAsiaTheme="majorEastAsia" w:hAnsi="Segoe UI" w:cs="Segoe UI"/>
          <w:color w:val="000000"/>
          <w:sz w:val="21"/>
          <w:szCs w:val="21"/>
        </w:rPr>
        <w:t>Abstract</w:t>
      </w:r>
    </w:p>
    <w:p w14:paraId="2CAA0B07" w14:textId="77777777" w:rsidR="005F0DC4" w:rsidRPr="005F0DC4" w:rsidRDefault="005F0DC4" w:rsidP="005F0DC4">
      <w:pPr>
        <w:pStyle w:val="NormalWeb"/>
        <w:spacing w:line="300" w:lineRule="atLeast"/>
        <w:rPr>
          <w:rFonts w:ascii="Segoe UI" w:hAnsi="Segoe UI" w:cs="Segoe UI"/>
          <w:color w:val="000000"/>
          <w:sz w:val="21"/>
          <w:szCs w:val="21"/>
        </w:rPr>
      </w:pPr>
      <w:r w:rsidRPr="005F0DC4">
        <w:rPr>
          <w:rFonts w:ascii="Segoe UI" w:hAnsi="Segoe UI" w:cs="Segoe UI"/>
          <w:color w:val="000000"/>
          <w:sz w:val="21"/>
          <w:szCs w:val="21"/>
        </w:rPr>
        <w:t>The past decade has witnessed a paradigm shift in drug discovery, moving beyond classical occupancy-driven inhibition toward event-driven pharmacology that exploits chemically induced protein proximity. Proximity inducing agents (PIAs) — encompassing heterobifunctional degraders (PROTACs), molecular glue degraders, and non-degradative proximity inducers — operate by engineering neo-protein–protein interactions (neo-PPIs) that are absent in normal biology, thereby redirecting the cell's own enzymatic machinery to modulate target protein fate. This mechanistic framework dramatically expands the druggable proteome, enabling therapeutic intervention against transcription factors, scaffolding proteins, and other targets historically considered intractable to small molecule approaches.</w:t>
      </w:r>
    </w:p>
    <w:p w14:paraId="1275E9A8" w14:textId="67B41DC8" w:rsidR="005F0DC4" w:rsidRPr="005F0DC4" w:rsidRDefault="005F0DC4" w:rsidP="005F0DC4">
      <w:pPr>
        <w:pStyle w:val="NormalWeb"/>
        <w:spacing w:line="300" w:lineRule="atLeast"/>
        <w:rPr>
          <w:rFonts w:ascii="Segoe UI" w:hAnsi="Segoe UI" w:cs="Segoe UI"/>
          <w:color w:val="000000"/>
          <w:sz w:val="21"/>
          <w:szCs w:val="21"/>
        </w:rPr>
      </w:pPr>
      <w:r w:rsidRPr="005F0DC4">
        <w:rPr>
          <w:rFonts w:ascii="Segoe UI" w:hAnsi="Segoe UI" w:cs="Segoe UI"/>
          <w:color w:val="000000"/>
          <w:sz w:val="21"/>
          <w:szCs w:val="21"/>
        </w:rPr>
        <w:t xml:space="preserve">Aurigene Oncology has built a fully integrated proximity inducer discovery engine — the A-PROX platform — that combines </w:t>
      </w:r>
      <w:r>
        <w:rPr>
          <w:rFonts w:ascii="Segoe UI" w:hAnsi="Segoe UI" w:cs="Segoe UI"/>
          <w:color w:val="000000"/>
          <w:sz w:val="21"/>
          <w:szCs w:val="21"/>
        </w:rPr>
        <w:t>solid phase</w:t>
      </w:r>
      <w:r w:rsidRPr="005F0DC4">
        <w:rPr>
          <w:rFonts w:ascii="Segoe UI" w:hAnsi="Segoe UI" w:cs="Segoe UI"/>
          <w:color w:val="000000"/>
          <w:sz w:val="21"/>
          <w:szCs w:val="21"/>
        </w:rPr>
        <w:t xml:space="preserve"> library screening, direct-to-biology chemistries, proprietary ternary complex assays, structure-based design, and computational modelling to systematically prosecute neo-PPI space across oncology targets. This talk will describe our journey from platform conception to clinical-stage assets, highlighting the scientific principles, key learnings, and translational strategies that have shaped our portfolio.</w:t>
      </w:r>
    </w:p>
    <w:p w14:paraId="50918AE7" w14:textId="03E76923" w:rsidR="005F0DC4" w:rsidRPr="005F0DC4" w:rsidRDefault="005F0DC4" w:rsidP="005F0DC4">
      <w:pPr>
        <w:pStyle w:val="NormalWeb"/>
        <w:spacing w:line="300" w:lineRule="atLeast"/>
        <w:rPr>
          <w:rFonts w:ascii="Segoe UI" w:hAnsi="Segoe UI" w:cs="Segoe UI"/>
          <w:color w:val="000000"/>
          <w:sz w:val="21"/>
          <w:szCs w:val="21"/>
        </w:rPr>
      </w:pPr>
      <w:r w:rsidRPr="005F0DC4">
        <w:rPr>
          <w:rFonts w:ascii="Segoe UI" w:hAnsi="Segoe UI" w:cs="Segoe UI"/>
          <w:color w:val="000000"/>
          <w:sz w:val="21"/>
          <w:szCs w:val="21"/>
        </w:rPr>
        <w:t xml:space="preserve">We will present case studies spanning multiple target classes. First, the discovery of potent, paralogue-selective SMARCA2 degraders that achieve deep and durable target knockdown while sparing SMARCA4, culminating in an IND-approved clinical candidate — the first SMARCA2 degrader to enter clinical development. Second, the rational design of SMARCA4-selective degraders that exploit the synthetic lethality between SMARCA4 loss and residual SWI/SNF complex activity in SMARCA4-driven cancers. Third, the development of paralogue-selective p300 degraders with exceptional selectivity over CBP, designed to exploit synthetic lethality in CBP-mutant hematologic and solid malignancies, and to address p300-dependent oncogenic transcription in prostate and other cancers. Fourth, progress on a pan-KRAS degrader program targeting one of oncology's most recalcitrant drivers. </w:t>
      </w:r>
    </w:p>
    <w:p w14:paraId="7A8A9495" w14:textId="77777777" w:rsidR="005F0DC4" w:rsidRDefault="005F0DC4" w:rsidP="005F0DC4">
      <w:pPr>
        <w:pStyle w:val="NormalWeb"/>
        <w:spacing w:line="300" w:lineRule="atLeast"/>
        <w:rPr>
          <w:rFonts w:ascii="Segoe UI" w:hAnsi="Segoe UI" w:cs="Segoe UI"/>
          <w:color w:val="000000"/>
          <w:sz w:val="21"/>
          <w:szCs w:val="21"/>
        </w:rPr>
      </w:pPr>
      <w:r w:rsidRPr="005F0DC4">
        <w:rPr>
          <w:rFonts w:ascii="Segoe UI" w:hAnsi="Segoe UI" w:cs="Segoe UI"/>
          <w:color w:val="000000"/>
          <w:sz w:val="21"/>
          <w:szCs w:val="21"/>
        </w:rPr>
        <w:t>Collectively, these programs illustrate how a systematic, platform-driven approach to neo-PPI pharmacology can convert proximity biology into differentiated, clinically actionable therapeutics. We will discuss emerging opportunities in non-degradative proximity induction, the expanding E3 ligase landscape, and the next frontier of induced proximity beyond the ubiquitin–proteasome system.</w:t>
      </w:r>
    </w:p>
    <w:p w14:paraId="4EF30700" w14:textId="77777777" w:rsidR="000938A6" w:rsidRDefault="000938A6" w:rsidP="005F0DC4">
      <w:pPr>
        <w:pStyle w:val="NormalWeb"/>
        <w:spacing w:line="300" w:lineRule="atLeast"/>
        <w:rPr>
          <w:rFonts w:ascii="Segoe UI" w:hAnsi="Segoe UI" w:cs="Segoe UI"/>
          <w:color w:val="000000"/>
          <w:sz w:val="21"/>
          <w:szCs w:val="21"/>
        </w:rPr>
      </w:pPr>
    </w:p>
    <w:p w14:paraId="7E425DC8" w14:textId="77777777" w:rsidR="000938A6" w:rsidRPr="00767564" w:rsidRDefault="000938A6" w:rsidP="000938A6">
      <w:pPr>
        <w:jc w:val="both"/>
      </w:pPr>
      <w:r w:rsidRPr="00767564">
        <w:rPr>
          <w:b/>
          <w:bCs/>
          <w:lang w:val="en-US"/>
        </w:rPr>
        <w:t>Biography:</w:t>
      </w:r>
      <w:r w:rsidRPr="00767564">
        <w:rPr>
          <w:lang w:val="en-US"/>
        </w:rPr>
        <w:t xml:space="preserve"> Dr. </w:t>
      </w:r>
      <w:r w:rsidRPr="00767564">
        <w:t xml:space="preserve">Susanta Samajdar serves as the Chief Scientific Officer at Aurigene Oncology Limited, bringing over 25 years of experience in synthetic and medicinal chemistry research within diverse sectors of Indian industries and academia. He earned his Ph.D. in Synthetic Organic Chemistry from the </w:t>
      </w:r>
      <w:r w:rsidRPr="002B6BA6">
        <w:rPr>
          <w:b/>
          <w:bCs/>
        </w:rPr>
        <w:t xml:space="preserve">Indian Association for the Cultivation </w:t>
      </w:r>
      <w:r w:rsidRPr="002B6BA6">
        <w:rPr>
          <w:b/>
          <w:bCs/>
        </w:rPr>
        <w:lastRenderedPageBreak/>
        <w:t>of Science (IACS) in Kolkata</w:t>
      </w:r>
      <w:r w:rsidRPr="00767564">
        <w:t>. Subsequently, he pursued Post-Doctoral training in anti-cancer drug discovery at MD Anderson Cancer Centre in Houston, TX.</w:t>
      </w:r>
      <w:r w:rsidRPr="00767564">
        <w:rPr>
          <w:rFonts w:ascii="Arial" w:hAnsi="Arial" w:cs="Arial"/>
        </w:rPr>
        <w:t> </w:t>
      </w:r>
      <w:r w:rsidRPr="00767564">
        <w:t> </w:t>
      </w:r>
    </w:p>
    <w:p w14:paraId="5314CE72" w14:textId="77777777" w:rsidR="000938A6" w:rsidRPr="00767564" w:rsidRDefault="000938A6" w:rsidP="000938A6">
      <w:pPr>
        <w:jc w:val="both"/>
      </w:pPr>
      <w:r w:rsidRPr="00767564">
        <w:t>Dr. Samajdar has spearheaded multi-disciplinary drug discovery teams, resulting in the successful delivery of more than 20 preclinical development candidates spanning the Oncology and Inflammation therapeutic domains. Several of these molecules are in the different phases of clinical development. His proficiency extends across various therapeutic modalities, encompassing small molecules, antibodies, antibody drug conjugates (ADCs), Targeted Protein degradation (TPD), and Natural Products.</w:t>
      </w:r>
      <w:r w:rsidRPr="00767564">
        <w:rPr>
          <w:rFonts w:ascii="Arial" w:hAnsi="Arial" w:cs="Arial"/>
        </w:rPr>
        <w:t> </w:t>
      </w:r>
      <w:r w:rsidRPr="00767564">
        <w:t> </w:t>
      </w:r>
    </w:p>
    <w:p w14:paraId="6040D0F1" w14:textId="77777777" w:rsidR="000938A6" w:rsidRDefault="000938A6" w:rsidP="000938A6">
      <w:pPr>
        <w:jc w:val="both"/>
      </w:pPr>
      <w:r w:rsidRPr="00767564">
        <w:t>He has tackled a range of target classes such as Transcription factors, GPCRs, Ion channels, Proteases, Kinases, NHRs, Epigenetic effector proteins etc. With a prolific track record, Dr. Samajdar has amassed over 100 patents and publications. He has been affiliated with Aurigene since March 2012, contributing his expertise in anti-cancer drug discovery and exploring newer avenues in Oncology research. </w:t>
      </w:r>
    </w:p>
    <w:p w14:paraId="7C08F23F" w14:textId="77777777" w:rsidR="000938A6" w:rsidRPr="005F0DC4" w:rsidRDefault="000938A6" w:rsidP="005F0DC4">
      <w:pPr>
        <w:pStyle w:val="NormalWeb"/>
        <w:spacing w:line="300" w:lineRule="atLeast"/>
        <w:rPr>
          <w:rFonts w:ascii="Segoe UI" w:hAnsi="Segoe UI" w:cs="Segoe UI"/>
          <w:color w:val="000000"/>
          <w:sz w:val="21"/>
          <w:szCs w:val="21"/>
        </w:rPr>
      </w:pPr>
    </w:p>
    <w:p w14:paraId="257136ED" w14:textId="537154D8" w:rsidR="002448C4" w:rsidRDefault="002448C4" w:rsidP="005F0DC4">
      <w:pPr>
        <w:pStyle w:val="NormalWeb"/>
        <w:spacing w:line="300" w:lineRule="atLeast"/>
        <w:rPr>
          <w:rFonts w:ascii="Georgia" w:hAnsi="Georgia" w:cs="Georgia"/>
          <w:color w:val="000000"/>
          <w:lang w:val="en-GB"/>
        </w:rPr>
      </w:pPr>
    </w:p>
    <w:p w14:paraId="5032459F" w14:textId="77777777" w:rsidR="000938A6" w:rsidRPr="002C2BB7" w:rsidRDefault="000938A6" w:rsidP="005F0DC4">
      <w:pPr>
        <w:pStyle w:val="NormalWeb"/>
        <w:spacing w:line="300" w:lineRule="atLeast"/>
        <w:rPr>
          <w:rFonts w:ascii="Georgia" w:hAnsi="Georgia" w:cs="Georgia"/>
          <w:color w:val="000000"/>
          <w:lang w:val="en-GB"/>
        </w:rPr>
      </w:pPr>
    </w:p>
    <w:sectPr w:rsidR="000938A6" w:rsidRPr="002C2B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BB7"/>
    <w:rsid w:val="000938A6"/>
    <w:rsid w:val="002448C4"/>
    <w:rsid w:val="002A40A1"/>
    <w:rsid w:val="002C2BB7"/>
    <w:rsid w:val="002E3153"/>
    <w:rsid w:val="00373C38"/>
    <w:rsid w:val="005D54BB"/>
    <w:rsid w:val="005F0DC4"/>
    <w:rsid w:val="0082143F"/>
    <w:rsid w:val="008576BF"/>
    <w:rsid w:val="009E11EA"/>
    <w:rsid w:val="00B14EA0"/>
    <w:rsid w:val="00B20CAE"/>
    <w:rsid w:val="00D254CC"/>
    <w:rsid w:val="00DF7C40"/>
    <w:rsid w:val="00F42D0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2046BE38"/>
  <w15:chartTrackingRefBased/>
  <w15:docId w15:val="{0BCFFB84-DBB1-9146-AC5D-D72BA9DEB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2B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2B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2B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2B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2B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2BB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2BB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2BB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2BB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2B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2B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2B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2B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2B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2B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2B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2B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2BB7"/>
    <w:rPr>
      <w:rFonts w:eastAsiaTheme="majorEastAsia" w:cstheme="majorBidi"/>
      <w:color w:val="272727" w:themeColor="text1" w:themeTint="D8"/>
    </w:rPr>
  </w:style>
  <w:style w:type="paragraph" w:styleId="Title">
    <w:name w:val="Title"/>
    <w:basedOn w:val="Normal"/>
    <w:next w:val="Normal"/>
    <w:link w:val="TitleChar"/>
    <w:uiPriority w:val="10"/>
    <w:qFormat/>
    <w:rsid w:val="002C2BB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2B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2BB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2B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2BB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C2BB7"/>
    <w:rPr>
      <w:i/>
      <w:iCs/>
      <w:color w:val="404040" w:themeColor="text1" w:themeTint="BF"/>
    </w:rPr>
  </w:style>
  <w:style w:type="paragraph" w:styleId="ListParagraph">
    <w:name w:val="List Paragraph"/>
    <w:basedOn w:val="Normal"/>
    <w:uiPriority w:val="34"/>
    <w:qFormat/>
    <w:rsid w:val="002C2BB7"/>
    <w:pPr>
      <w:ind w:left="720"/>
      <w:contextualSpacing/>
    </w:pPr>
  </w:style>
  <w:style w:type="character" w:styleId="IntenseEmphasis">
    <w:name w:val="Intense Emphasis"/>
    <w:basedOn w:val="DefaultParagraphFont"/>
    <w:uiPriority w:val="21"/>
    <w:qFormat/>
    <w:rsid w:val="002C2BB7"/>
    <w:rPr>
      <w:i/>
      <w:iCs/>
      <w:color w:val="0F4761" w:themeColor="accent1" w:themeShade="BF"/>
    </w:rPr>
  </w:style>
  <w:style w:type="paragraph" w:styleId="IntenseQuote">
    <w:name w:val="Intense Quote"/>
    <w:basedOn w:val="Normal"/>
    <w:next w:val="Normal"/>
    <w:link w:val="IntenseQuoteChar"/>
    <w:uiPriority w:val="30"/>
    <w:qFormat/>
    <w:rsid w:val="002C2B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2BB7"/>
    <w:rPr>
      <w:i/>
      <w:iCs/>
      <w:color w:val="0F4761" w:themeColor="accent1" w:themeShade="BF"/>
    </w:rPr>
  </w:style>
  <w:style w:type="character" w:styleId="IntenseReference">
    <w:name w:val="Intense Reference"/>
    <w:basedOn w:val="DefaultParagraphFont"/>
    <w:uiPriority w:val="32"/>
    <w:qFormat/>
    <w:rsid w:val="002C2BB7"/>
    <w:rPr>
      <w:b/>
      <w:bCs/>
      <w:smallCaps/>
      <w:color w:val="0F4761" w:themeColor="accent1" w:themeShade="BF"/>
      <w:spacing w:val="5"/>
    </w:rPr>
  </w:style>
  <w:style w:type="paragraph" w:styleId="NormalWeb">
    <w:name w:val="Normal (Web)"/>
    <w:basedOn w:val="Normal"/>
    <w:uiPriority w:val="99"/>
    <w:unhideWhenUsed/>
    <w:rsid w:val="00B14EA0"/>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B14E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615</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Susanta Samajdar</dc:creator>
  <cp:keywords/>
  <dc:description/>
  <cp:lastModifiedBy>Elisabeth Egholm Jacobsen</cp:lastModifiedBy>
  <cp:revision>3</cp:revision>
  <dcterms:created xsi:type="dcterms:W3CDTF">2026-05-31T19:12:00Z</dcterms:created>
  <dcterms:modified xsi:type="dcterms:W3CDTF">2026-05-31T19:14:00Z</dcterms:modified>
</cp:coreProperties>
</file>