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608C5" w14:textId="77777777" w:rsidR="00991401" w:rsidRPr="00AC37EA" w:rsidRDefault="00991401" w:rsidP="00991401">
      <w:pPr>
        <w:jc w:val="center"/>
        <w:rPr>
          <w:rStyle w:val="Strong"/>
          <w:rFonts w:asciiTheme="minorHAnsi" w:hAnsiTheme="minorHAnsi" w:cstheme="minorHAnsi"/>
          <w:color w:val="272833"/>
          <w:sz w:val="28"/>
          <w:szCs w:val="28"/>
          <w:shd w:val="clear" w:color="auto" w:fill="FFFFFF"/>
        </w:rPr>
      </w:pPr>
      <w:r w:rsidRPr="00AC37EA">
        <w:rPr>
          <w:rFonts w:asciiTheme="minorHAnsi" w:hAnsiTheme="minorHAnsi" w:cstheme="minorHAnsi"/>
          <w:b/>
          <w:sz w:val="28"/>
          <w:szCs w:val="28"/>
        </w:rPr>
        <w:t xml:space="preserve">L9. </w:t>
      </w:r>
      <w:r w:rsidRPr="00AC37EA">
        <w:rPr>
          <w:rStyle w:val="Strong"/>
          <w:rFonts w:asciiTheme="minorHAnsi" w:hAnsiTheme="minorHAnsi" w:cstheme="minorHAnsi"/>
          <w:color w:val="272833"/>
          <w:sz w:val="28"/>
          <w:szCs w:val="28"/>
          <w:shd w:val="clear" w:color="auto" w:fill="FFFFFF"/>
        </w:rPr>
        <w:t xml:space="preserve">Sustainable Drug Synthesis </w:t>
      </w:r>
    </w:p>
    <w:p w14:paraId="6A6B4F45" w14:textId="77777777" w:rsidR="00991401" w:rsidRDefault="00991401" w:rsidP="00991401">
      <w:pPr>
        <w:jc w:val="center"/>
        <w:rPr>
          <w:rFonts w:ascii="Calibri" w:hAnsi="Calibri" w:cs="Calibri"/>
          <w:b/>
          <w:sz w:val="22"/>
          <w:szCs w:val="22"/>
        </w:rPr>
      </w:pPr>
      <w:r>
        <w:rPr>
          <w:rStyle w:val="Strong"/>
          <w:rFonts w:ascii="Open Sans" w:hAnsi="Open Sans" w:cs="Open Sans"/>
          <w:color w:val="272833"/>
          <w:shd w:val="clear" w:color="auto" w:fill="FFFFFF"/>
        </w:rPr>
        <w:t> </w:t>
      </w:r>
    </w:p>
    <w:p w14:paraId="31CD04E0" w14:textId="77777777" w:rsidR="00991401" w:rsidRDefault="00991401" w:rsidP="00991401">
      <w:pPr>
        <w:jc w:val="center"/>
        <w:rPr>
          <w:rFonts w:ascii="Calibri" w:hAnsi="Calibri" w:cs="Calibri"/>
          <w:bCs/>
        </w:rPr>
      </w:pPr>
      <w:r w:rsidRPr="00AC37EA">
        <w:rPr>
          <w:rFonts w:ascii="Calibri" w:hAnsi="Calibri" w:cs="Calibri"/>
          <w:bCs/>
        </w:rPr>
        <w:t>Roland Wohlgemuth</w:t>
      </w:r>
    </w:p>
    <w:p w14:paraId="2140D40D" w14:textId="77777777" w:rsidR="00991401" w:rsidRPr="00127CF7" w:rsidRDefault="00991401" w:rsidP="00991401">
      <w:pPr>
        <w:jc w:val="center"/>
        <w:rPr>
          <w:rFonts w:asciiTheme="minorHAnsi" w:hAnsiTheme="minorHAnsi" w:cstheme="minorHAnsi"/>
          <w:bCs/>
        </w:rPr>
      </w:pPr>
    </w:p>
    <w:p w14:paraId="4F13C5EC" w14:textId="77777777" w:rsidR="00991401" w:rsidRPr="00127CF7" w:rsidRDefault="00991401" w:rsidP="00991401">
      <w:pPr>
        <w:jc w:val="center"/>
        <w:rPr>
          <w:rFonts w:asciiTheme="minorHAnsi" w:hAnsiTheme="minorHAnsi" w:cstheme="minorHAnsi"/>
          <w:bCs/>
          <w:sz w:val="22"/>
          <w:szCs w:val="22"/>
        </w:rPr>
      </w:pPr>
      <w:r w:rsidRPr="00127CF7">
        <w:rPr>
          <w:rFonts w:asciiTheme="minorHAnsi" w:hAnsiTheme="minorHAnsi" w:cstheme="minorHAnsi"/>
          <w:bCs/>
          <w:sz w:val="22"/>
          <w:szCs w:val="22"/>
        </w:rPr>
        <w:t>President of European Society of Applied Biocatalysis (ESAB)</w:t>
      </w:r>
    </w:p>
    <w:p w14:paraId="449CC859" w14:textId="77777777" w:rsidR="00991401" w:rsidRPr="00127CF7" w:rsidRDefault="00991401" w:rsidP="00991401">
      <w:pPr>
        <w:autoSpaceDE w:val="0"/>
        <w:autoSpaceDN w:val="0"/>
        <w:adjustRightInd w:val="0"/>
        <w:jc w:val="center"/>
        <w:rPr>
          <w:rFonts w:asciiTheme="minorHAnsi" w:hAnsiTheme="minorHAnsi" w:cstheme="minorHAnsi"/>
          <w:color w:val="000000"/>
          <w:sz w:val="22"/>
          <w:szCs w:val="22"/>
          <w:lang w:val="en-GB" w:eastAsia="en-US"/>
        </w:rPr>
      </w:pPr>
      <w:r w:rsidRPr="00127CF7">
        <w:rPr>
          <w:rFonts w:asciiTheme="minorHAnsi" w:hAnsiTheme="minorHAnsi" w:cstheme="minorHAnsi"/>
          <w:color w:val="000000"/>
          <w:sz w:val="22"/>
          <w:szCs w:val="22"/>
          <w:lang w:val="en-GB" w:eastAsia="en-US"/>
        </w:rPr>
        <w:t>Institute of General and Ecological Chemistry, Faculty of Chemistry,</w:t>
      </w:r>
    </w:p>
    <w:p w14:paraId="4DBEE176" w14:textId="77777777" w:rsidR="00991401" w:rsidRPr="00127CF7" w:rsidRDefault="00991401" w:rsidP="00991401">
      <w:pPr>
        <w:jc w:val="center"/>
        <w:rPr>
          <w:rFonts w:asciiTheme="minorHAnsi" w:hAnsiTheme="minorHAnsi" w:cstheme="minorHAnsi"/>
          <w:bCs/>
          <w:sz w:val="22"/>
          <w:szCs w:val="22"/>
          <w:lang w:val="en-GB"/>
        </w:rPr>
      </w:pPr>
      <w:r w:rsidRPr="00127CF7">
        <w:rPr>
          <w:rFonts w:asciiTheme="minorHAnsi" w:hAnsiTheme="minorHAnsi" w:cstheme="minorHAnsi"/>
          <w:color w:val="000000"/>
          <w:sz w:val="22"/>
          <w:szCs w:val="22"/>
          <w:lang w:val="en-GB" w:eastAsia="en-US"/>
        </w:rPr>
        <w:t xml:space="preserve">Lodz University of Technology, </w:t>
      </w:r>
      <w:proofErr w:type="spellStart"/>
      <w:r w:rsidRPr="00127CF7">
        <w:rPr>
          <w:rFonts w:asciiTheme="minorHAnsi" w:hAnsiTheme="minorHAnsi" w:cstheme="minorHAnsi"/>
          <w:color w:val="000000"/>
          <w:sz w:val="22"/>
          <w:szCs w:val="22"/>
          <w:lang w:val="en-GB" w:eastAsia="en-US"/>
        </w:rPr>
        <w:t>Zeromskiego</w:t>
      </w:r>
      <w:proofErr w:type="spellEnd"/>
      <w:r w:rsidRPr="00127CF7">
        <w:rPr>
          <w:rFonts w:asciiTheme="minorHAnsi" w:hAnsiTheme="minorHAnsi" w:cstheme="minorHAnsi"/>
          <w:color w:val="000000"/>
          <w:sz w:val="22"/>
          <w:szCs w:val="22"/>
          <w:lang w:val="en-GB" w:eastAsia="en-US"/>
        </w:rPr>
        <w:t xml:space="preserve"> Street 116, 90-924 Lodz, Poland</w:t>
      </w:r>
    </w:p>
    <w:p w14:paraId="2EDC519F" w14:textId="77777777" w:rsidR="00991401" w:rsidRPr="004052F6" w:rsidRDefault="00991401" w:rsidP="00991401">
      <w:pPr>
        <w:jc w:val="center"/>
        <w:rPr>
          <w:rFonts w:asciiTheme="minorHAnsi" w:hAnsiTheme="minorHAnsi" w:cstheme="minorHAnsi"/>
          <w:bCs/>
          <w:sz w:val="22"/>
          <w:szCs w:val="22"/>
        </w:rPr>
      </w:pPr>
    </w:p>
    <w:p w14:paraId="55340DDD" w14:textId="77777777" w:rsidR="00991401" w:rsidRDefault="00991401" w:rsidP="00991401">
      <w:pPr>
        <w:jc w:val="center"/>
      </w:pPr>
      <w:r w:rsidRPr="004052F6">
        <w:rPr>
          <w:rFonts w:asciiTheme="minorHAnsi" w:hAnsiTheme="minorHAnsi" w:cstheme="minorHAnsi"/>
          <w:bCs/>
          <w:sz w:val="22"/>
          <w:szCs w:val="22"/>
        </w:rPr>
        <w:t xml:space="preserve">e-mail: </w:t>
      </w:r>
      <w:r>
        <w:fldChar w:fldCharType="begin"/>
      </w:r>
      <w:r>
        <w:instrText>HYPERLINK "mailto:roland.wohlgemuth.1@p.lodz.pl"</w:instrText>
      </w:r>
      <w:r>
        <w:fldChar w:fldCharType="separate"/>
      </w:r>
      <w:r w:rsidRPr="004052F6">
        <w:rPr>
          <w:rStyle w:val="Hyperlink"/>
          <w:rFonts w:asciiTheme="minorHAnsi" w:hAnsiTheme="minorHAnsi" w:cstheme="minorHAnsi"/>
          <w:sz w:val="22"/>
          <w:szCs w:val="22"/>
        </w:rPr>
        <w:t>roland.wohlgemuth.1@p.lodz.pl</w:t>
      </w:r>
      <w:r>
        <w:fldChar w:fldCharType="end"/>
      </w:r>
    </w:p>
    <w:p w14:paraId="4904AD9A" w14:textId="77777777" w:rsidR="00991401" w:rsidRPr="00D632A3" w:rsidRDefault="00991401" w:rsidP="00991401">
      <w:pPr>
        <w:jc w:val="center"/>
      </w:pPr>
    </w:p>
    <w:p w14:paraId="5384D060" w14:textId="77777777" w:rsidR="00991401" w:rsidRDefault="00991401" w:rsidP="00991401">
      <w:pPr>
        <w:pStyle w:val="Default"/>
        <w:rPr>
          <w:sz w:val="22"/>
          <w:szCs w:val="22"/>
        </w:rPr>
      </w:pPr>
      <w:r>
        <w:rPr>
          <w:sz w:val="22"/>
          <w:szCs w:val="22"/>
        </w:rPr>
        <w:t xml:space="preserve">Over the last eight decades the development and manufacturing of diagnostics and therapeutics have enabled tremendous progress of human health on our planet by saving and improving the lives of </w:t>
      </w:r>
      <w:proofErr w:type="gramStart"/>
      <w:r>
        <w:rPr>
          <w:sz w:val="22"/>
          <w:szCs w:val="22"/>
        </w:rPr>
        <w:t>a large number of</w:t>
      </w:r>
      <w:proofErr w:type="gramEnd"/>
      <w:r>
        <w:rPr>
          <w:sz w:val="22"/>
          <w:szCs w:val="22"/>
        </w:rPr>
        <w:t xml:space="preserve"> humans suffering from inherited and acquired diseases. When human health gets out of balance and is affected negatively by diseases, biological resources in the biosphere of our planet are key for the synthesis of drugs. [1] Around half of the new drugs approved between 1981 and 2019 are related to biological resources, either directly as biological macromolecules, unaltered natural products, botanical drugs, or indirectly as natural product derivatives, vaccines, or mimics of a natural product[2] Complex interactions of drugs with humans and their activities with the natural environment go beyond the individual level and link planetary health also to planetary boundaries.[3,4] The interfaces between sustainability and drugs, their interactions with humans and their way of synthesis, are important at various scales, and the evolving nature of sustainable drugs for precision medicine requires also a </w:t>
      </w:r>
      <w:proofErr w:type="spellStart"/>
      <w:r>
        <w:rPr>
          <w:sz w:val="22"/>
          <w:szCs w:val="22"/>
        </w:rPr>
        <w:t>concomittant</w:t>
      </w:r>
      <w:proofErr w:type="spellEnd"/>
      <w:r>
        <w:rPr>
          <w:sz w:val="22"/>
          <w:szCs w:val="22"/>
        </w:rPr>
        <w:t xml:space="preserve"> adaptation of sustainable manufacturing processes, as illustrated by the paths to sustainable statin drugs.[5] The molecular economy from starting materials via the intermediates to the active pharmaceutical ingredients provides a frame work for biocatalytic syntheses of numerous drug precursors. Biocatalytic reaction steps for the most challenging reactions which can only be done via chemical protection-deprotection schemes or not at all, or for transitioning from fossil-based to biobased raw materials, are best taken into consideration early on in the retrosynthetic analysis and route design for sustainable synthesis.[6,7] The rapidly growing biocatalytic reaction platforms support the sustainable synthesis of more complex pharmaceuticals from simple building blocks.[8-10]</w:t>
      </w:r>
    </w:p>
    <w:p w14:paraId="5002F7B2" w14:textId="16E806C0" w:rsidR="00991401" w:rsidRDefault="00991401" w:rsidP="00991401">
      <w:pPr>
        <w:pStyle w:val="Default"/>
        <w:rPr>
          <w:sz w:val="22"/>
          <w:szCs w:val="22"/>
        </w:rPr>
      </w:pPr>
      <w:r>
        <w:rPr>
          <w:sz w:val="22"/>
          <w:szCs w:val="22"/>
        </w:rPr>
        <w:t xml:space="preserve">The identification and overcoming of bottlenecks to complete conversion and product </w:t>
      </w:r>
      <w:proofErr w:type="gramStart"/>
      <w:r>
        <w:rPr>
          <w:sz w:val="22"/>
          <w:szCs w:val="22"/>
        </w:rPr>
        <w:t>recovery[</w:t>
      </w:r>
      <w:proofErr w:type="gramEnd"/>
      <w:r>
        <w:rPr>
          <w:sz w:val="22"/>
          <w:szCs w:val="22"/>
        </w:rPr>
        <w:t>11] will further contribute towards the increasing use of biocatalysis, from one-step and multi-step reactions to biocatalytic total synthesis, in the sustainable drug synthesis.[12]</w:t>
      </w:r>
    </w:p>
    <w:p w14:paraId="1CE53F7C" w14:textId="77777777" w:rsidR="00991401" w:rsidRDefault="00991401" w:rsidP="00991401">
      <w:pPr>
        <w:pStyle w:val="Default"/>
        <w:rPr>
          <w:sz w:val="18"/>
          <w:szCs w:val="18"/>
        </w:rPr>
      </w:pPr>
      <w:r>
        <w:rPr>
          <w:sz w:val="18"/>
          <w:szCs w:val="18"/>
        </w:rPr>
        <w:t xml:space="preserve">____ </w:t>
      </w:r>
    </w:p>
    <w:p w14:paraId="21C12707" w14:textId="77777777" w:rsidR="00991401" w:rsidRDefault="00991401" w:rsidP="00991401">
      <w:pPr>
        <w:pStyle w:val="Default"/>
        <w:rPr>
          <w:sz w:val="18"/>
          <w:szCs w:val="18"/>
        </w:rPr>
      </w:pPr>
      <w:r>
        <w:rPr>
          <w:sz w:val="18"/>
          <w:szCs w:val="18"/>
        </w:rPr>
        <w:t xml:space="preserve">[1] B.S. Moore, D.J. Newman, J. Nat. Prod. 2025, </w:t>
      </w:r>
      <w:r w:rsidRPr="00137824">
        <w:rPr>
          <w:b/>
          <w:bCs/>
          <w:sz w:val="18"/>
          <w:szCs w:val="18"/>
        </w:rPr>
        <w:t>88,</w:t>
      </w:r>
      <w:r>
        <w:rPr>
          <w:sz w:val="18"/>
          <w:szCs w:val="18"/>
        </w:rPr>
        <w:t xml:space="preserve"> 1541−1548. </w:t>
      </w:r>
    </w:p>
    <w:p w14:paraId="0A030D1D" w14:textId="77777777" w:rsidR="00991401" w:rsidRDefault="00991401" w:rsidP="00991401">
      <w:pPr>
        <w:pStyle w:val="Default"/>
        <w:rPr>
          <w:sz w:val="18"/>
          <w:szCs w:val="18"/>
        </w:rPr>
      </w:pPr>
      <w:r>
        <w:rPr>
          <w:sz w:val="18"/>
          <w:szCs w:val="18"/>
        </w:rPr>
        <w:t xml:space="preserve">[2] D.J. Newman, G.M. Cragg, J. Nat. Prod. 2020, </w:t>
      </w:r>
      <w:r w:rsidRPr="00137824">
        <w:rPr>
          <w:b/>
          <w:bCs/>
          <w:sz w:val="18"/>
          <w:szCs w:val="18"/>
        </w:rPr>
        <w:t>83</w:t>
      </w:r>
      <w:r>
        <w:rPr>
          <w:sz w:val="18"/>
          <w:szCs w:val="18"/>
        </w:rPr>
        <w:t xml:space="preserve">, 770−803 </w:t>
      </w:r>
    </w:p>
    <w:p w14:paraId="321AD5A5" w14:textId="77777777" w:rsidR="00991401" w:rsidRDefault="00991401" w:rsidP="00991401">
      <w:pPr>
        <w:pStyle w:val="Default"/>
        <w:rPr>
          <w:sz w:val="18"/>
          <w:szCs w:val="18"/>
        </w:rPr>
      </w:pPr>
      <w:r>
        <w:rPr>
          <w:sz w:val="18"/>
          <w:szCs w:val="18"/>
        </w:rPr>
        <w:t xml:space="preserve">[3] S. </w:t>
      </w:r>
      <w:proofErr w:type="spellStart"/>
      <w:r>
        <w:rPr>
          <w:sz w:val="18"/>
          <w:szCs w:val="18"/>
        </w:rPr>
        <w:t>Whitmee</w:t>
      </w:r>
      <w:proofErr w:type="spellEnd"/>
      <w:r>
        <w:rPr>
          <w:sz w:val="18"/>
          <w:szCs w:val="18"/>
        </w:rPr>
        <w:t xml:space="preserve">, A. Haines, C. Beyrer, F. Boltz, A.G Capon, B. Ferreira de Souza Dias, A. Ezeh, H. Frumkin, P. Gong, P. Head, R. Horton, G.M Mace, R. Marten, S.S. Myers, S. Nishtar, S.A Osofsky, S.K Pattanayak, M.J. </w:t>
      </w:r>
      <w:proofErr w:type="spellStart"/>
      <w:r>
        <w:rPr>
          <w:sz w:val="18"/>
          <w:szCs w:val="18"/>
        </w:rPr>
        <w:t>Pongsiri</w:t>
      </w:r>
      <w:proofErr w:type="spellEnd"/>
      <w:r>
        <w:rPr>
          <w:sz w:val="18"/>
          <w:szCs w:val="18"/>
        </w:rPr>
        <w:t xml:space="preserve">, C. Romanelli, A. </w:t>
      </w:r>
      <w:proofErr w:type="spellStart"/>
      <w:r>
        <w:rPr>
          <w:sz w:val="18"/>
          <w:szCs w:val="18"/>
        </w:rPr>
        <w:t>Soucat</w:t>
      </w:r>
      <w:proofErr w:type="spellEnd"/>
      <w:r>
        <w:rPr>
          <w:sz w:val="18"/>
          <w:szCs w:val="18"/>
        </w:rPr>
        <w:t xml:space="preserve">, J. Vega, D. Yach, Lancet 2015, 386, 1973–2028. </w:t>
      </w:r>
    </w:p>
    <w:p w14:paraId="4A82F90D" w14:textId="77777777" w:rsidR="00991401" w:rsidRDefault="00991401" w:rsidP="00991401">
      <w:pPr>
        <w:pStyle w:val="Default"/>
        <w:rPr>
          <w:sz w:val="18"/>
          <w:szCs w:val="18"/>
        </w:rPr>
      </w:pPr>
      <w:r>
        <w:rPr>
          <w:sz w:val="18"/>
          <w:szCs w:val="18"/>
        </w:rPr>
        <w:t xml:space="preserve">[4] C.A. Faerron Guzmán, N. Redvers, J.S. Ji, O. Lacey-Hall, J. Mahmood, O. </w:t>
      </w:r>
      <w:proofErr w:type="spellStart"/>
      <w:r>
        <w:rPr>
          <w:sz w:val="18"/>
          <w:szCs w:val="18"/>
        </w:rPr>
        <w:t>Masztalerz</w:t>
      </w:r>
      <w:proofErr w:type="spellEnd"/>
      <w:r>
        <w:rPr>
          <w:sz w:val="18"/>
          <w:szCs w:val="18"/>
        </w:rPr>
        <w:t xml:space="preserve">, A.L. Phelan, J. </w:t>
      </w:r>
      <w:proofErr w:type="spellStart"/>
      <w:r>
        <w:rPr>
          <w:sz w:val="18"/>
          <w:szCs w:val="18"/>
        </w:rPr>
        <w:t>Rockström</w:t>
      </w:r>
      <w:proofErr w:type="spellEnd"/>
      <w:r>
        <w:rPr>
          <w:sz w:val="18"/>
          <w:szCs w:val="18"/>
        </w:rPr>
        <w:t xml:space="preserve">, S.S. Myers, </w:t>
      </w:r>
      <w:proofErr w:type="spellStart"/>
      <w:proofErr w:type="gramStart"/>
      <w:r>
        <w:rPr>
          <w:sz w:val="18"/>
          <w:szCs w:val="18"/>
        </w:rPr>
        <w:t>Annu.Rev.Environ.Resour</w:t>
      </w:r>
      <w:proofErr w:type="spellEnd"/>
      <w:proofErr w:type="gramEnd"/>
      <w:r>
        <w:rPr>
          <w:sz w:val="18"/>
          <w:szCs w:val="18"/>
        </w:rPr>
        <w:t xml:space="preserve">. 2025, 50, 303–37. </w:t>
      </w:r>
    </w:p>
    <w:p w14:paraId="1D9946F5" w14:textId="77777777" w:rsidR="00991401" w:rsidRDefault="00991401" w:rsidP="00991401">
      <w:pPr>
        <w:pStyle w:val="Default"/>
        <w:rPr>
          <w:sz w:val="18"/>
          <w:szCs w:val="18"/>
        </w:rPr>
      </w:pPr>
      <w:r>
        <w:rPr>
          <w:sz w:val="18"/>
          <w:szCs w:val="18"/>
        </w:rPr>
        <w:t xml:space="preserve">[5] R. Wohlgemuth, </w:t>
      </w:r>
      <w:proofErr w:type="spellStart"/>
      <w:r>
        <w:rPr>
          <w:sz w:val="18"/>
          <w:szCs w:val="18"/>
        </w:rPr>
        <w:t>Chimia</w:t>
      </w:r>
      <w:proofErr w:type="spellEnd"/>
      <w:r>
        <w:rPr>
          <w:sz w:val="18"/>
          <w:szCs w:val="18"/>
        </w:rPr>
        <w:t xml:space="preserve"> 2025, 79, 352–358. </w:t>
      </w:r>
    </w:p>
    <w:p w14:paraId="1C43F9AD" w14:textId="77777777" w:rsidR="00991401" w:rsidRDefault="00991401" w:rsidP="00991401">
      <w:pPr>
        <w:pStyle w:val="Default"/>
        <w:rPr>
          <w:sz w:val="18"/>
          <w:szCs w:val="18"/>
        </w:rPr>
      </w:pPr>
      <w:r>
        <w:rPr>
          <w:sz w:val="18"/>
          <w:szCs w:val="18"/>
        </w:rPr>
        <w:t xml:space="preserve">[6] R. Wohlgemuth, React. Chem. Eng. 2023, 8(9), 2109-2118. </w:t>
      </w:r>
    </w:p>
    <w:p w14:paraId="76CE1F10" w14:textId="77777777" w:rsidR="00991401" w:rsidRDefault="00991401" w:rsidP="00991401">
      <w:pPr>
        <w:pStyle w:val="Default"/>
        <w:rPr>
          <w:sz w:val="18"/>
          <w:szCs w:val="18"/>
        </w:rPr>
      </w:pPr>
      <w:r>
        <w:rPr>
          <w:sz w:val="18"/>
          <w:szCs w:val="18"/>
        </w:rPr>
        <w:t xml:space="preserve">[7] R. Wohlgemuth, </w:t>
      </w:r>
      <w:proofErr w:type="spellStart"/>
      <w:r>
        <w:rPr>
          <w:sz w:val="18"/>
          <w:szCs w:val="18"/>
        </w:rPr>
        <w:t>ChemSusChem</w:t>
      </w:r>
      <w:proofErr w:type="spellEnd"/>
      <w:r>
        <w:rPr>
          <w:sz w:val="18"/>
          <w:szCs w:val="18"/>
        </w:rPr>
        <w:t xml:space="preserve"> 2022, 15(9), e202200402 </w:t>
      </w:r>
    </w:p>
    <w:p w14:paraId="5C8A9203" w14:textId="77777777" w:rsidR="00991401" w:rsidRDefault="00991401" w:rsidP="00991401">
      <w:pPr>
        <w:pStyle w:val="Default"/>
        <w:rPr>
          <w:sz w:val="18"/>
          <w:szCs w:val="18"/>
        </w:rPr>
      </w:pPr>
      <w:r>
        <w:rPr>
          <w:sz w:val="18"/>
          <w:szCs w:val="18"/>
        </w:rPr>
        <w:t xml:space="preserve">[8] R. Wohlgemuth, </w:t>
      </w:r>
      <w:proofErr w:type="spellStart"/>
      <w:r>
        <w:rPr>
          <w:sz w:val="18"/>
          <w:szCs w:val="18"/>
        </w:rPr>
        <w:t>ChemSusChem</w:t>
      </w:r>
      <w:proofErr w:type="spellEnd"/>
      <w:r>
        <w:rPr>
          <w:sz w:val="18"/>
          <w:szCs w:val="18"/>
        </w:rPr>
        <w:t xml:space="preserve">, 2026, 19(11), e202502620. </w:t>
      </w:r>
    </w:p>
    <w:p w14:paraId="4B1057D4" w14:textId="77777777" w:rsidR="00991401" w:rsidRDefault="00991401" w:rsidP="00991401">
      <w:pPr>
        <w:pStyle w:val="Default"/>
        <w:rPr>
          <w:sz w:val="18"/>
          <w:szCs w:val="18"/>
        </w:rPr>
      </w:pPr>
      <w:r>
        <w:rPr>
          <w:sz w:val="18"/>
          <w:szCs w:val="18"/>
        </w:rPr>
        <w:t xml:space="preserve">[9] R. Wohlgemuth, Industrial asymmetric biocatalysis, in: Foundations and Frontiers in Enzymology, Bio-catalysis in Asymmetric Synthesis, G. de Gonzalo, A.R. Alcántara (Eds,), Academic Press, 2024, 431-463. </w:t>
      </w:r>
    </w:p>
    <w:p w14:paraId="4D063895" w14:textId="77777777" w:rsidR="00991401" w:rsidRDefault="00991401" w:rsidP="00991401">
      <w:pPr>
        <w:pStyle w:val="Default"/>
        <w:rPr>
          <w:sz w:val="18"/>
          <w:szCs w:val="18"/>
        </w:rPr>
      </w:pPr>
      <w:r>
        <w:rPr>
          <w:sz w:val="18"/>
          <w:szCs w:val="18"/>
        </w:rPr>
        <w:t xml:space="preserve">[10] R. Wohlgemuth, Molecules 2024, 29(23), 5772. </w:t>
      </w:r>
    </w:p>
    <w:p w14:paraId="02B57A6F" w14:textId="77777777" w:rsidR="00991401" w:rsidRDefault="00991401" w:rsidP="00991401">
      <w:pPr>
        <w:pStyle w:val="Default"/>
        <w:rPr>
          <w:sz w:val="18"/>
          <w:szCs w:val="18"/>
        </w:rPr>
      </w:pPr>
      <w:r>
        <w:rPr>
          <w:sz w:val="18"/>
          <w:szCs w:val="18"/>
        </w:rPr>
        <w:t xml:space="preserve">[11] R. Wohlgemuth, React. Chem. Eng., 2025, 10, 278-293. </w:t>
      </w:r>
    </w:p>
    <w:p w14:paraId="0726A0B0" w14:textId="77777777" w:rsidR="00991401" w:rsidRDefault="00991401" w:rsidP="00991401">
      <w:pPr>
        <w:pStyle w:val="Default"/>
        <w:rPr>
          <w:sz w:val="18"/>
          <w:szCs w:val="18"/>
        </w:rPr>
      </w:pPr>
      <w:r>
        <w:rPr>
          <w:sz w:val="18"/>
          <w:szCs w:val="18"/>
        </w:rPr>
        <w:t xml:space="preserve">[12] A.R. Alcántara, P. Domínguez de María, J.A Littlechild, M. Schürmann, R.A. Sheldon, R. Wohlgemuth, </w:t>
      </w:r>
    </w:p>
    <w:p w14:paraId="6FEF216E" w14:textId="77777777" w:rsidR="00991401" w:rsidRPr="00D632A3" w:rsidRDefault="00991401" w:rsidP="00991401">
      <w:r>
        <w:rPr>
          <w:i/>
          <w:iCs/>
          <w:sz w:val="18"/>
          <w:szCs w:val="18"/>
        </w:rPr>
        <w:t>ChemSusChem, 15(9), e202102709.</w:t>
      </w:r>
    </w:p>
    <w:p w14:paraId="3F3766BA" w14:textId="329635F9" w:rsidR="00991401" w:rsidRPr="00991401" w:rsidRDefault="00991401">
      <w:pPr>
        <w:rPr>
          <w:rFonts w:ascii="Calibri" w:hAnsi="Calibri" w:cs="Calibri"/>
          <w:b/>
          <w:sz w:val="22"/>
          <w:szCs w:val="22"/>
        </w:rPr>
      </w:pPr>
    </w:p>
    <w:sectPr w:rsidR="00991401" w:rsidRPr="009914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401"/>
    <w:rsid w:val="006604B2"/>
    <w:rsid w:val="00991401"/>
    <w:rsid w:val="00B90113"/>
    <w:rsid w:val="00DA2F2B"/>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0E52"/>
  <w15:chartTrackingRefBased/>
  <w15:docId w15:val="{93796BB8-43B6-CB44-BA36-0EA6AAE8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0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914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914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9140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9140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9140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9140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9140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9140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9140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01"/>
    <w:rPr>
      <w:rFonts w:eastAsiaTheme="majorEastAsia" w:cstheme="majorBidi"/>
      <w:color w:val="272727" w:themeColor="text1" w:themeTint="D8"/>
    </w:rPr>
  </w:style>
  <w:style w:type="paragraph" w:styleId="Title">
    <w:name w:val="Title"/>
    <w:basedOn w:val="Normal"/>
    <w:next w:val="Normal"/>
    <w:link w:val="TitleChar"/>
    <w:uiPriority w:val="10"/>
    <w:qFormat/>
    <w:rsid w:val="009914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91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40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91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0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91401"/>
    <w:rPr>
      <w:i/>
      <w:iCs/>
      <w:color w:val="404040" w:themeColor="text1" w:themeTint="BF"/>
    </w:rPr>
  </w:style>
  <w:style w:type="paragraph" w:styleId="ListParagraph">
    <w:name w:val="List Paragraph"/>
    <w:basedOn w:val="Normal"/>
    <w:uiPriority w:val="34"/>
    <w:qFormat/>
    <w:rsid w:val="0099140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91401"/>
    <w:rPr>
      <w:i/>
      <w:iCs/>
      <w:color w:val="0F4761" w:themeColor="accent1" w:themeShade="BF"/>
    </w:rPr>
  </w:style>
  <w:style w:type="paragraph" w:styleId="IntenseQuote">
    <w:name w:val="Intense Quote"/>
    <w:basedOn w:val="Normal"/>
    <w:next w:val="Normal"/>
    <w:link w:val="IntenseQuoteChar"/>
    <w:uiPriority w:val="30"/>
    <w:qFormat/>
    <w:rsid w:val="0099140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91401"/>
    <w:rPr>
      <w:i/>
      <w:iCs/>
      <w:color w:val="0F4761" w:themeColor="accent1" w:themeShade="BF"/>
    </w:rPr>
  </w:style>
  <w:style w:type="character" w:styleId="IntenseReference">
    <w:name w:val="Intense Reference"/>
    <w:basedOn w:val="DefaultParagraphFont"/>
    <w:uiPriority w:val="32"/>
    <w:qFormat/>
    <w:rsid w:val="00991401"/>
    <w:rPr>
      <w:b/>
      <w:bCs/>
      <w:smallCaps/>
      <w:color w:val="0F4761" w:themeColor="accent1" w:themeShade="BF"/>
      <w:spacing w:val="5"/>
    </w:rPr>
  </w:style>
  <w:style w:type="character" w:styleId="Hyperlink">
    <w:name w:val="Hyperlink"/>
    <w:basedOn w:val="DefaultParagraphFont"/>
    <w:uiPriority w:val="99"/>
    <w:unhideWhenUsed/>
    <w:rsid w:val="00991401"/>
    <w:rPr>
      <w:color w:val="467886" w:themeColor="hyperlink"/>
      <w:u w:val="single"/>
    </w:rPr>
  </w:style>
  <w:style w:type="paragraph" w:customStyle="1" w:styleId="Default">
    <w:name w:val="Default"/>
    <w:rsid w:val="00991401"/>
    <w:pPr>
      <w:widowControl w:val="0"/>
      <w:autoSpaceDE w:val="0"/>
      <w:autoSpaceDN w:val="0"/>
      <w:adjustRightInd w:val="0"/>
      <w:spacing w:after="0" w:line="240" w:lineRule="auto"/>
    </w:pPr>
    <w:rPr>
      <w:rFonts w:ascii="Calibri" w:hAnsi="Calibri" w:cs="Calibri"/>
      <w:color w:val="000000"/>
      <w:kern w:val="0"/>
      <w:lang w:val="en-GB"/>
      <w14:ligatures w14:val="none"/>
    </w:rPr>
  </w:style>
  <w:style w:type="character" w:styleId="Strong">
    <w:name w:val="Strong"/>
    <w:basedOn w:val="DefaultParagraphFont"/>
    <w:uiPriority w:val="22"/>
    <w:qFormat/>
    <w:rsid w:val="00991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Egholm Jacobsen</dc:creator>
  <cp:keywords/>
  <dc:description/>
  <cp:lastModifiedBy>Elisabeth Egholm Jacobsen</cp:lastModifiedBy>
  <cp:revision>1</cp:revision>
  <dcterms:created xsi:type="dcterms:W3CDTF">2026-06-24T22:27:00Z</dcterms:created>
  <dcterms:modified xsi:type="dcterms:W3CDTF">2026-06-24T22:29:00Z</dcterms:modified>
</cp:coreProperties>
</file>