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60F" w:rsidRPr="00916CEE" w:rsidRDefault="008B160F" w:rsidP="00045993">
      <w:pPr>
        <w:rPr>
          <w:rStyle w:val="Strong"/>
          <w:rFonts w:ascii="Times New Roman" w:hAnsi="Times New Roman" w:cs="Times New Roman"/>
          <w:sz w:val="24"/>
          <w:szCs w:val="24"/>
          <w:lang w:val="en-US" w:eastAsia="nb-NO"/>
        </w:rPr>
      </w:pPr>
      <w:r w:rsidRPr="008B160F">
        <w:rPr>
          <w:noProof/>
          <w:sz w:val="24"/>
          <w:lang w:eastAsia="nb-NO"/>
        </w:rPr>
        <w:drawing>
          <wp:anchor distT="0" distB="0" distL="114300" distR="114300" simplePos="0" relativeHeight="251660288" behindDoc="0" locked="0" layoutInCell="1" allowOverlap="1">
            <wp:simplePos x="0" y="0"/>
            <wp:positionH relativeFrom="column">
              <wp:posOffset>-661670</wp:posOffset>
            </wp:positionH>
            <wp:positionV relativeFrom="paragraph">
              <wp:posOffset>-585470</wp:posOffset>
            </wp:positionV>
            <wp:extent cx="2286000" cy="444500"/>
            <wp:effectExtent l="0" t="0" r="0" b="0"/>
            <wp:wrapNone/>
            <wp:docPr id="3" name="Picture 3" descr="http://www.ntnu.edu/documents/20587845/21114866/sff-logo-banner-eng-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tnu.edu/documents/20587845/21114866/sff-logo-banner-eng-360.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86000" cy="444500"/>
                    </a:xfrm>
                    <a:prstGeom prst="rect">
                      <a:avLst/>
                    </a:prstGeom>
                    <a:noFill/>
                    <a:ln>
                      <a:noFill/>
                    </a:ln>
                  </pic:spPr>
                </pic:pic>
              </a:graphicData>
            </a:graphic>
          </wp:anchor>
        </w:drawing>
      </w:r>
      <w:r w:rsidR="00423B7D" w:rsidRPr="008B160F">
        <w:rPr>
          <w:rStyle w:val="Strong"/>
          <w:b w:val="0"/>
          <w:sz w:val="24"/>
          <w:lang w:val="en-US"/>
        </w:rPr>
        <w:t xml:space="preserve">The </w:t>
      </w:r>
      <w:proofErr w:type="spellStart"/>
      <w:r w:rsidRPr="008B160F">
        <w:rPr>
          <w:rStyle w:val="Strong"/>
          <w:b w:val="0"/>
          <w:sz w:val="24"/>
          <w:lang w:val="en-US"/>
        </w:rPr>
        <w:t>CoE</w:t>
      </w:r>
      <w:proofErr w:type="spellEnd"/>
      <w:r w:rsidRPr="008B160F">
        <w:rPr>
          <w:rStyle w:val="Strong"/>
          <w:b w:val="0"/>
          <w:sz w:val="24"/>
          <w:lang w:val="en-US"/>
        </w:rPr>
        <w:t xml:space="preserve"> </w:t>
      </w:r>
      <w:r w:rsidR="00423B7D" w:rsidRPr="008B160F">
        <w:rPr>
          <w:rStyle w:val="Strong"/>
          <w:b w:val="0"/>
          <w:sz w:val="24"/>
          <w:lang w:val="en-US"/>
        </w:rPr>
        <w:t xml:space="preserve">Centre for Autonomous Marine Operations and Systems are proud to </w:t>
      </w:r>
      <w:r w:rsidR="00045993" w:rsidRPr="008B160F">
        <w:rPr>
          <w:rStyle w:val="Strong"/>
          <w:b w:val="0"/>
          <w:sz w:val="24"/>
          <w:lang w:val="en-US"/>
        </w:rPr>
        <w:t xml:space="preserve">announce </w:t>
      </w:r>
      <w:r w:rsidRPr="008B160F">
        <w:rPr>
          <w:rStyle w:val="Strong"/>
          <w:b w:val="0"/>
          <w:sz w:val="24"/>
          <w:lang w:val="en-US"/>
        </w:rPr>
        <w:t xml:space="preserve">the visit of </w:t>
      </w:r>
      <w:r w:rsidR="00045993" w:rsidRPr="008B160F">
        <w:rPr>
          <w:rStyle w:val="Strong"/>
          <w:sz w:val="24"/>
          <w:lang w:val="en-US"/>
        </w:rPr>
        <w:t>Prof</w:t>
      </w:r>
      <w:r w:rsidRPr="008B160F">
        <w:rPr>
          <w:rStyle w:val="Strong"/>
          <w:sz w:val="24"/>
          <w:lang w:val="en-US"/>
        </w:rPr>
        <w:t>essor</w:t>
      </w:r>
      <w:r w:rsidR="00045993" w:rsidRPr="008B160F">
        <w:rPr>
          <w:rStyle w:val="Strong"/>
          <w:sz w:val="24"/>
          <w:lang w:val="en-US"/>
        </w:rPr>
        <w:t xml:space="preserve"> Andrew R. Teel, University of California at Santa Barbara</w:t>
      </w:r>
      <w:r w:rsidR="009078EA">
        <w:rPr>
          <w:rStyle w:val="Strong"/>
          <w:b w:val="0"/>
          <w:sz w:val="24"/>
          <w:lang w:val="en-US"/>
        </w:rPr>
        <w:t xml:space="preserve"> in fall 2015</w:t>
      </w:r>
      <w:r w:rsidRPr="008B160F">
        <w:rPr>
          <w:rStyle w:val="Strong"/>
          <w:b w:val="0"/>
          <w:sz w:val="24"/>
          <w:lang w:val="en-US"/>
        </w:rPr>
        <w:t xml:space="preserve">. </w:t>
      </w:r>
    </w:p>
    <w:p w:rsidR="00D72BEA" w:rsidRPr="00916CEE" w:rsidRDefault="008B160F" w:rsidP="00045993">
      <w:pPr>
        <w:rPr>
          <w:rStyle w:val="Strong"/>
          <w:lang w:val="en-US"/>
        </w:rPr>
      </w:pPr>
      <w:r w:rsidRPr="008B160F">
        <w:rPr>
          <w:rStyle w:val="Strong"/>
          <w:b w:val="0"/>
          <w:sz w:val="24"/>
          <w:lang w:val="en-US"/>
        </w:rPr>
        <w:t xml:space="preserve">As part of the NTNU course </w:t>
      </w:r>
      <w:r w:rsidRPr="008B160F">
        <w:rPr>
          <w:b/>
          <w:sz w:val="24"/>
          <w:lang w:val="en-US"/>
        </w:rPr>
        <w:t>MR8500: Advanced Topics in Marine Control Systems</w:t>
      </w:r>
      <w:r w:rsidRPr="008B160F">
        <w:rPr>
          <w:sz w:val="24"/>
          <w:lang w:val="en-US"/>
        </w:rPr>
        <w:t xml:space="preserve"> (study level: PhD; credits: 10.5), he</w:t>
      </w:r>
      <w:r w:rsidR="00045993" w:rsidRPr="008B160F">
        <w:rPr>
          <w:rStyle w:val="Strong"/>
          <w:b w:val="0"/>
          <w:sz w:val="24"/>
          <w:lang w:val="en-US"/>
        </w:rPr>
        <w:t xml:space="preserve"> </w:t>
      </w:r>
      <w:r w:rsidRPr="008B160F">
        <w:rPr>
          <w:rStyle w:val="Strong"/>
          <w:b w:val="0"/>
          <w:sz w:val="24"/>
          <w:lang w:val="en-US"/>
        </w:rPr>
        <w:t xml:space="preserve">will </w:t>
      </w:r>
      <w:r>
        <w:rPr>
          <w:rStyle w:val="Strong"/>
          <w:b w:val="0"/>
          <w:sz w:val="24"/>
          <w:lang w:val="en-US"/>
        </w:rPr>
        <w:t>give</w:t>
      </w:r>
      <w:r w:rsidR="00045993" w:rsidRPr="008B160F">
        <w:rPr>
          <w:rStyle w:val="Strong"/>
          <w:b w:val="0"/>
          <w:sz w:val="24"/>
          <w:lang w:val="en-US"/>
        </w:rPr>
        <w:t xml:space="preserve"> a 2-week intensive graduate course on the topic</w:t>
      </w:r>
      <w:r w:rsidR="00D72BEA" w:rsidRPr="008B160F">
        <w:rPr>
          <w:rStyle w:val="Strong"/>
          <w:b w:val="0"/>
          <w:sz w:val="24"/>
          <w:lang w:val="en-US"/>
        </w:rPr>
        <w:t>:</w:t>
      </w:r>
      <w:r w:rsidR="00045993" w:rsidRPr="008B160F">
        <w:rPr>
          <w:rStyle w:val="Strong"/>
          <w:b w:val="0"/>
          <w:sz w:val="24"/>
          <w:lang w:val="en-US"/>
        </w:rPr>
        <w:t xml:space="preserve"> </w:t>
      </w:r>
    </w:p>
    <w:p w:rsidR="00045993" w:rsidRPr="00423B7D" w:rsidRDefault="009078EA" w:rsidP="00F5584B">
      <w:pPr>
        <w:pStyle w:val="Heading1"/>
        <w:spacing w:before="240" w:after="240"/>
        <w:jc w:val="center"/>
        <w:rPr>
          <w:lang w:val="en-US"/>
        </w:rPr>
      </w:pPr>
      <w:r>
        <w:rPr>
          <w:lang w:val="en-US"/>
        </w:rPr>
        <w:t xml:space="preserve">Stochastic </w:t>
      </w:r>
      <w:r w:rsidR="00045993" w:rsidRPr="00423B7D">
        <w:rPr>
          <w:lang w:val="en-US"/>
        </w:rPr>
        <w:t>Hybrid Dynamical Systems</w:t>
      </w:r>
    </w:p>
    <w:p w:rsidR="008B160F" w:rsidRDefault="009078EA" w:rsidP="008B160F">
      <w:pPr>
        <w:rPr>
          <w:lang w:val="en-US"/>
        </w:rPr>
      </w:pPr>
      <w:r>
        <w:rPr>
          <w:lang w:val="en-US"/>
        </w:rPr>
        <w:t>The course will be held the weeks of</w:t>
      </w:r>
      <w:r w:rsidR="008B160F" w:rsidRPr="00423B7D">
        <w:rPr>
          <w:lang w:val="en-US"/>
        </w:rPr>
        <w:t xml:space="preserve"> September</w:t>
      </w:r>
      <w:r>
        <w:rPr>
          <w:lang w:val="en-US"/>
        </w:rPr>
        <w:t xml:space="preserve"> 7-18</w:t>
      </w:r>
      <w:r w:rsidR="00365E8C">
        <w:rPr>
          <w:lang w:val="en-US"/>
        </w:rPr>
        <w:t>,</w:t>
      </w:r>
      <w:r>
        <w:rPr>
          <w:lang w:val="en-US"/>
        </w:rPr>
        <w:t xml:space="preserve"> 2015</w:t>
      </w:r>
      <w:r w:rsidR="00365E8C">
        <w:rPr>
          <w:lang w:val="en-US"/>
        </w:rPr>
        <w:t>, and i</w:t>
      </w:r>
      <w:r w:rsidR="008B160F">
        <w:rPr>
          <w:lang w:val="en-US"/>
        </w:rPr>
        <w:t xml:space="preserve">nterested </w:t>
      </w:r>
      <w:r w:rsidR="00365E8C">
        <w:rPr>
          <w:lang w:val="en-US"/>
        </w:rPr>
        <w:t xml:space="preserve">graduate </w:t>
      </w:r>
      <w:r w:rsidR="008B160F">
        <w:rPr>
          <w:lang w:val="en-US"/>
        </w:rPr>
        <w:t xml:space="preserve">students and PhD candidates should </w:t>
      </w:r>
      <w:r w:rsidR="00365E8C">
        <w:rPr>
          <w:lang w:val="en-US"/>
        </w:rPr>
        <w:t xml:space="preserve">include </w:t>
      </w:r>
      <w:r w:rsidR="008B160F">
        <w:rPr>
          <w:lang w:val="en-US"/>
        </w:rPr>
        <w:t>MR8500</w:t>
      </w:r>
      <w:r w:rsidR="00365E8C">
        <w:rPr>
          <w:lang w:val="en-US"/>
        </w:rPr>
        <w:t xml:space="preserve"> in their course plans</w:t>
      </w:r>
      <w:r w:rsidR="008B160F">
        <w:rPr>
          <w:lang w:val="en-US"/>
        </w:rPr>
        <w:t xml:space="preserve"> </w:t>
      </w:r>
      <w:r w:rsidR="00F5584B">
        <w:rPr>
          <w:lang w:val="en-US"/>
        </w:rPr>
        <w:t>for</w:t>
      </w:r>
      <w:r>
        <w:rPr>
          <w:lang w:val="en-US"/>
        </w:rPr>
        <w:t xml:space="preserve"> </w:t>
      </w:r>
      <w:proofErr w:type="gramStart"/>
      <w:r>
        <w:rPr>
          <w:lang w:val="en-US"/>
        </w:rPr>
        <w:t>Fall</w:t>
      </w:r>
      <w:proofErr w:type="gramEnd"/>
      <w:r>
        <w:rPr>
          <w:lang w:val="en-US"/>
        </w:rPr>
        <w:t xml:space="preserve"> 2015</w:t>
      </w:r>
      <w:r w:rsidR="00F5584B">
        <w:rPr>
          <w:lang w:val="en-US"/>
        </w:rPr>
        <w:t>.</w:t>
      </w:r>
    </w:p>
    <w:p w:rsidR="00F5584B" w:rsidRPr="00423B7D" w:rsidRDefault="00F5584B" w:rsidP="008B160F">
      <w:pPr>
        <w:rPr>
          <w:lang w:val="en-US"/>
        </w:rPr>
      </w:pPr>
    </w:p>
    <w:p w:rsidR="00EC769C" w:rsidRPr="00916CEE" w:rsidRDefault="00045993" w:rsidP="00045993">
      <w:pPr>
        <w:rPr>
          <w:rStyle w:val="Heading2Char"/>
          <w:lang w:val="en-US"/>
        </w:rPr>
      </w:pPr>
      <w:r w:rsidRPr="00423B7D">
        <w:rPr>
          <w:rStyle w:val="Heading2Char"/>
          <w:lang w:val="en-US"/>
        </w:rPr>
        <w:t>Course summary</w:t>
      </w:r>
    </w:p>
    <w:p w:rsidR="00045993" w:rsidRPr="00423B7D" w:rsidRDefault="00423B7D" w:rsidP="00045993">
      <w:pPr>
        <w:rPr>
          <w:lang w:val="en-US"/>
        </w:rPr>
      </w:pPr>
      <w:r w:rsidRPr="00423B7D">
        <w:rPr>
          <w:noProof/>
          <w:lang w:eastAsia="nb-NO"/>
        </w:rPr>
        <w:drawing>
          <wp:anchor distT="0" distB="0" distL="114300" distR="114300" simplePos="0" relativeHeight="251659264" behindDoc="0" locked="0" layoutInCell="1" allowOverlap="1">
            <wp:simplePos x="0" y="0"/>
            <wp:positionH relativeFrom="column">
              <wp:posOffset>-4445</wp:posOffset>
            </wp:positionH>
            <wp:positionV relativeFrom="paragraph">
              <wp:posOffset>29845</wp:posOffset>
            </wp:positionV>
            <wp:extent cx="1466850" cy="21913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2191385"/>
                    </a:xfrm>
                    <a:prstGeom prst="rect">
                      <a:avLst/>
                    </a:prstGeom>
                    <a:noFill/>
                    <a:ln>
                      <a:noFill/>
                    </a:ln>
                  </pic:spPr>
                </pic:pic>
              </a:graphicData>
            </a:graphic>
          </wp:anchor>
        </w:drawing>
      </w:r>
      <w:r w:rsidR="00AE457C">
        <w:rPr>
          <w:lang w:val="en-US"/>
        </w:rPr>
        <w:t xml:space="preserve">The course serves as an introduction to stochastic hybrid dynamical systems.    As background, the first week will feature material on non-stochastic </w:t>
      </w:r>
      <w:r w:rsidR="00231F27">
        <w:rPr>
          <w:lang w:val="en-US"/>
        </w:rPr>
        <w:t xml:space="preserve">hybrid </w:t>
      </w:r>
      <w:r w:rsidR="00AE457C">
        <w:rPr>
          <w:lang w:val="en-US"/>
        </w:rPr>
        <w:t xml:space="preserve">systems from </w:t>
      </w:r>
      <w:r w:rsidR="00045993" w:rsidRPr="00423B7D">
        <w:rPr>
          <w:lang w:val="en-US"/>
        </w:rPr>
        <w:t xml:space="preserve">the book "Hybrid Dynamical Systems", by R. Goebel, R.G. </w:t>
      </w:r>
      <w:proofErr w:type="spellStart"/>
      <w:r w:rsidR="00045993" w:rsidRPr="00423B7D">
        <w:rPr>
          <w:lang w:val="en-US"/>
        </w:rPr>
        <w:t>Sanfelice</w:t>
      </w:r>
      <w:proofErr w:type="spellEnd"/>
      <w:r w:rsidR="00045993" w:rsidRPr="00423B7D">
        <w:rPr>
          <w:lang w:val="en-US"/>
        </w:rPr>
        <w:t>, and A.R. Teel, Princeton University Press, 2012.</w:t>
      </w:r>
      <w:r w:rsidR="00AE457C">
        <w:rPr>
          <w:lang w:val="en-US"/>
        </w:rPr>
        <w:t xml:space="preserve">  The second week will delve into stochastic hybrid dynamical systems, guided by papers on this topic published by Professor Teel.</w:t>
      </w:r>
    </w:p>
    <w:p w:rsidR="00045993" w:rsidRPr="00423B7D" w:rsidRDefault="00045993" w:rsidP="00045993">
      <w:pPr>
        <w:rPr>
          <w:lang w:val="en-US"/>
        </w:rPr>
      </w:pPr>
      <w:r w:rsidRPr="00423B7D">
        <w:rPr>
          <w:lang w:val="en-US"/>
        </w:rPr>
        <w:t xml:space="preserve">The course covers modeling and stability theory for </w:t>
      </w:r>
      <w:r w:rsidR="00F24A8F">
        <w:rPr>
          <w:lang w:val="en-US"/>
        </w:rPr>
        <w:t>(</w:t>
      </w:r>
      <w:r w:rsidR="00AE457C">
        <w:rPr>
          <w:lang w:val="en-US"/>
        </w:rPr>
        <w:t>stochastic</w:t>
      </w:r>
      <w:r w:rsidR="00F24A8F">
        <w:rPr>
          <w:lang w:val="en-US"/>
        </w:rPr>
        <w:t>)</w:t>
      </w:r>
      <w:r w:rsidR="00AE457C">
        <w:rPr>
          <w:lang w:val="en-US"/>
        </w:rPr>
        <w:t xml:space="preserve"> </w:t>
      </w:r>
      <w:r w:rsidRPr="00423B7D">
        <w:rPr>
          <w:lang w:val="en-US"/>
        </w:rPr>
        <w:t xml:space="preserve">hybrid dynamical systems. The stability analysis tools </w:t>
      </w:r>
      <w:proofErr w:type="gramStart"/>
      <w:r w:rsidRPr="00423B7D">
        <w:rPr>
          <w:lang w:val="en-US"/>
        </w:rPr>
        <w:t>are applied</w:t>
      </w:r>
      <w:proofErr w:type="gramEnd"/>
      <w:r w:rsidRPr="00423B7D">
        <w:rPr>
          <w:lang w:val="en-US"/>
        </w:rPr>
        <w:t xml:space="preserve"> to prove closed-loop stability for control systems that employ hybrid feedback algorithms. The goal is to equip the student with state-of-the-art analysis and synthesis techniques for hybrid feedback systems. In order to follow the material in the course, it is helpful to have taken courses on linear systems (from a state-space </w:t>
      </w:r>
      <w:proofErr w:type="gramStart"/>
      <w:r w:rsidRPr="00423B7D">
        <w:rPr>
          <w:lang w:val="en-US"/>
        </w:rPr>
        <w:t>point</w:t>
      </w:r>
      <w:proofErr w:type="gramEnd"/>
      <w:r w:rsidRPr="00423B7D">
        <w:rPr>
          <w:lang w:val="en-US"/>
        </w:rPr>
        <w:t xml:space="preserve"> of view) and nonlinear systems (from a book like Hassan Khalil's </w:t>
      </w:r>
      <w:r w:rsidR="00F5584B">
        <w:rPr>
          <w:lang w:val="en-US"/>
        </w:rPr>
        <w:t>“</w:t>
      </w:r>
      <w:r w:rsidRPr="00423B7D">
        <w:rPr>
          <w:lang w:val="en-US"/>
        </w:rPr>
        <w:t>Nonlinear Systems</w:t>
      </w:r>
      <w:r w:rsidR="00F5584B">
        <w:rPr>
          <w:lang w:val="en-US"/>
        </w:rPr>
        <w:t>”</w:t>
      </w:r>
      <w:r w:rsidRPr="00423B7D">
        <w:rPr>
          <w:lang w:val="en-US"/>
        </w:rPr>
        <w:t>), and to be comfortable with the mathematics used in those courses.</w:t>
      </w:r>
      <w:r w:rsidR="000827FE">
        <w:rPr>
          <w:lang w:val="en-US"/>
        </w:rPr>
        <w:t xml:space="preserve">   In addition, some familiarity with random processes would be helpful.</w:t>
      </w:r>
    </w:p>
    <w:p w:rsidR="00F24A8F" w:rsidRDefault="00F24A8F">
      <w:pPr>
        <w:rPr>
          <w:lang w:val="en-US"/>
        </w:rPr>
      </w:pPr>
      <w:r>
        <w:rPr>
          <w:lang w:val="en-US"/>
        </w:rPr>
        <w:t>The first week</w:t>
      </w:r>
      <w:r w:rsidR="00045993" w:rsidRPr="00423B7D">
        <w:rPr>
          <w:lang w:val="en-US"/>
        </w:rPr>
        <w:t xml:space="preserve"> starts with exam</w:t>
      </w:r>
      <w:r>
        <w:rPr>
          <w:lang w:val="en-US"/>
        </w:rPr>
        <w:t xml:space="preserve">ples of hybrid systems and then </w:t>
      </w:r>
      <w:r w:rsidR="00045993" w:rsidRPr="00423B7D">
        <w:rPr>
          <w:lang w:val="en-US"/>
        </w:rPr>
        <w:t>rigorously define</w:t>
      </w:r>
      <w:r>
        <w:rPr>
          <w:lang w:val="en-US"/>
        </w:rPr>
        <w:t>s</w:t>
      </w:r>
      <w:r w:rsidR="00045993" w:rsidRPr="00423B7D">
        <w:rPr>
          <w:lang w:val="en-US"/>
        </w:rPr>
        <w:t xml:space="preserve"> the solution concept, with </w:t>
      </w:r>
      <w:r>
        <w:rPr>
          <w:lang w:val="en-US"/>
        </w:rPr>
        <w:t xml:space="preserve">a focus on hybrid time domains.  Next, </w:t>
      </w:r>
      <w:r w:rsidR="00045993" w:rsidRPr="00423B7D">
        <w:rPr>
          <w:lang w:val="en-US"/>
        </w:rPr>
        <w:t>asymptotic stability</w:t>
      </w:r>
      <w:r>
        <w:rPr>
          <w:lang w:val="en-US"/>
        </w:rPr>
        <w:t xml:space="preserve"> of closed sets is studied.</w:t>
      </w:r>
      <w:r w:rsidR="00045993" w:rsidRPr="00423B7D">
        <w:rPr>
          <w:lang w:val="en-US"/>
        </w:rPr>
        <w:t xml:space="preserve"> </w:t>
      </w:r>
      <w:proofErr w:type="spellStart"/>
      <w:r w:rsidR="00045993" w:rsidRPr="00423B7D">
        <w:rPr>
          <w:lang w:val="en-US"/>
        </w:rPr>
        <w:t>Lyapunov</w:t>
      </w:r>
      <w:proofErr w:type="spellEnd"/>
      <w:r w:rsidR="00045993" w:rsidRPr="00423B7D">
        <w:rPr>
          <w:lang w:val="en-US"/>
        </w:rPr>
        <w:t xml:space="preserve">-based methods </w:t>
      </w:r>
      <w:proofErr w:type="gramStart"/>
      <w:r w:rsidR="00231F27">
        <w:rPr>
          <w:lang w:val="en-US"/>
        </w:rPr>
        <w:t>are emphasized</w:t>
      </w:r>
      <w:proofErr w:type="gramEnd"/>
      <w:r w:rsidR="00231F27">
        <w:rPr>
          <w:lang w:val="en-US"/>
        </w:rPr>
        <w:t>. Subsequently, the course</w:t>
      </w:r>
      <w:r w:rsidR="00045993" w:rsidRPr="00423B7D">
        <w:rPr>
          <w:lang w:val="en-US"/>
        </w:rPr>
        <w:t xml:space="preserve"> address</w:t>
      </w:r>
      <w:r w:rsidR="00231F27">
        <w:rPr>
          <w:lang w:val="en-US"/>
        </w:rPr>
        <w:t>es</w:t>
      </w:r>
      <w:r w:rsidR="00045993" w:rsidRPr="00423B7D">
        <w:rPr>
          <w:lang w:val="en-US"/>
        </w:rPr>
        <w:t xml:space="preserve"> basic regularity conditions </w:t>
      </w:r>
      <w:r>
        <w:rPr>
          <w:lang w:val="en-US"/>
        </w:rPr>
        <w:t xml:space="preserve">on the data of a hybrid system that guarantee </w:t>
      </w:r>
      <w:r w:rsidR="00045993" w:rsidRPr="00423B7D">
        <w:rPr>
          <w:lang w:val="en-US"/>
        </w:rPr>
        <w:t xml:space="preserve">the hybrid system is </w:t>
      </w:r>
      <w:r w:rsidR="00F5584B">
        <w:rPr>
          <w:lang w:val="en-US"/>
        </w:rPr>
        <w:t>“well posed”</w:t>
      </w:r>
      <w:r w:rsidR="00045993" w:rsidRPr="00423B7D">
        <w:rPr>
          <w:lang w:val="en-US"/>
        </w:rPr>
        <w:t xml:space="preserve">, in the sense that small perturbations to the data do not change the nature of the possible solutions. Set-valued analysis techniques </w:t>
      </w:r>
      <w:proofErr w:type="gramStart"/>
      <w:r w:rsidR="00045993" w:rsidRPr="00423B7D">
        <w:rPr>
          <w:lang w:val="en-US"/>
        </w:rPr>
        <w:t>are introduced</w:t>
      </w:r>
      <w:proofErr w:type="gramEnd"/>
      <w:r w:rsidR="00045993" w:rsidRPr="00423B7D">
        <w:rPr>
          <w:lang w:val="en-US"/>
        </w:rPr>
        <w:t xml:space="preserve"> to characterize this </w:t>
      </w:r>
      <w:r w:rsidR="00231F27">
        <w:rPr>
          <w:lang w:val="en-US"/>
        </w:rPr>
        <w:t>well-</w:t>
      </w:r>
      <w:proofErr w:type="spellStart"/>
      <w:r w:rsidR="00231F27">
        <w:rPr>
          <w:lang w:val="en-US"/>
        </w:rPr>
        <w:t>posedness</w:t>
      </w:r>
      <w:proofErr w:type="spellEnd"/>
      <w:r w:rsidR="00231F27">
        <w:rPr>
          <w:lang w:val="en-US"/>
        </w:rPr>
        <w:t xml:space="preserve"> property. Next,</w:t>
      </w:r>
      <w:r w:rsidR="00045993" w:rsidRPr="00423B7D">
        <w:rPr>
          <w:lang w:val="en-US"/>
        </w:rPr>
        <w:t xml:space="preserve"> asymptotic stability</w:t>
      </w:r>
      <w:r w:rsidR="00231F27">
        <w:rPr>
          <w:lang w:val="en-US"/>
        </w:rPr>
        <w:t xml:space="preserve"> </w:t>
      </w:r>
      <w:proofErr w:type="gramStart"/>
      <w:r w:rsidR="00231F27">
        <w:rPr>
          <w:lang w:val="en-US"/>
        </w:rPr>
        <w:t>is revisited</w:t>
      </w:r>
      <w:proofErr w:type="gramEnd"/>
      <w:r w:rsidR="00045993" w:rsidRPr="00423B7D">
        <w:rPr>
          <w:lang w:val="en-US"/>
        </w:rPr>
        <w:t xml:space="preserve"> for wel</w:t>
      </w:r>
      <w:r w:rsidR="00231F27">
        <w:rPr>
          <w:lang w:val="en-US"/>
        </w:rPr>
        <w:t xml:space="preserve">l-posed hybrid systems and </w:t>
      </w:r>
      <w:r w:rsidR="00045993" w:rsidRPr="00423B7D">
        <w:rPr>
          <w:lang w:val="en-US"/>
        </w:rPr>
        <w:t xml:space="preserve">several equivalent characterizations, including converse </w:t>
      </w:r>
      <w:proofErr w:type="spellStart"/>
      <w:r w:rsidR="00045993" w:rsidRPr="00423B7D">
        <w:rPr>
          <w:lang w:val="en-US"/>
        </w:rPr>
        <w:t>L</w:t>
      </w:r>
      <w:r w:rsidR="00231F27">
        <w:rPr>
          <w:lang w:val="en-US"/>
        </w:rPr>
        <w:t>yapunov</w:t>
      </w:r>
      <w:proofErr w:type="spellEnd"/>
      <w:r w:rsidR="00231F27">
        <w:rPr>
          <w:lang w:val="en-US"/>
        </w:rPr>
        <w:t xml:space="preserve"> theorems, are given.</w:t>
      </w:r>
      <w:r w:rsidR="00045993" w:rsidRPr="00423B7D">
        <w:rPr>
          <w:lang w:val="en-US"/>
        </w:rPr>
        <w:t xml:space="preserve"> </w:t>
      </w:r>
      <w:r w:rsidR="00231F27">
        <w:rPr>
          <w:lang w:val="en-US"/>
        </w:rPr>
        <w:t>Finally</w:t>
      </w:r>
      <w:r w:rsidR="00045993" w:rsidRPr="00423B7D">
        <w:rPr>
          <w:lang w:val="en-US"/>
        </w:rPr>
        <w:t>, stability analysis tools based on the invarian</w:t>
      </w:r>
      <w:r w:rsidR="00231F27">
        <w:rPr>
          <w:lang w:val="en-US"/>
        </w:rPr>
        <w:t>ce principle for hybrid systems are developed.</w:t>
      </w:r>
    </w:p>
    <w:p w:rsidR="005463D5" w:rsidRDefault="00F24A8F" w:rsidP="00A56C4C">
      <w:pPr>
        <w:rPr>
          <w:rStyle w:val="Heading2Char"/>
          <w:lang w:val="en-US"/>
        </w:rPr>
      </w:pPr>
      <w:r>
        <w:rPr>
          <w:lang w:val="en-US"/>
        </w:rPr>
        <w:t xml:space="preserve">The second week addresses similar issues for stochastic hybrid systems, that is, systems where jumps </w:t>
      </w:r>
      <w:proofErr w:type="gramStart"/>
      <w:r>
        <w:rPr>
          <w:lang w:val="en-US"/>
        </w:rPr>
        <w:t>can be triggered</w:t>
      </w:r>
      <w:proofErr w:type="gramEnd"/>
      <w:r>
        <w:rPr>
          <w:lang w:val="en-US"/>
        </w:rPr>
        <w:t xml:space="preserve"> randomly in time, the values of the jumps may be determined by a random variable, and </w:t>
      </w:r>
      <w:r w:rsidR="000827FE">
        <w:rPr>
          <w:lang w:val="en-US"/>
        </w:rPr>
        <w:t>a Brownian motion may drive the flows</w:t>
      </w:r>
      <w:r>
        <w:rPr>
          <w:lang w:val="en-US"/>
        </w:rPr>
        <w:t xml:space="preserve">.  </w:t>
      </w:r>
      <w:r w:rsidR="000827FE">
        <w:rPr>
          <w:lang w:val="en-US"/>
        </w:rPr>
        <w:t xml:space="preserve">   Examples of such systems </w:t>
      </w:r>
      <w:proofErr w:type="gramStart"/>
      <w:r w:rsidR="000827FE">
        <w:rPr>
          <w:lang w:val="en-US"/>
        </w:rPr>
        <w:t>will be presented</w:t>
      </w:r>
      <w:proofErr w:type="gramEnd"/>
      <w:r w:rsidR="000827FE">
        <w:rPr>
          <w:lang w:val="en-US"/>
        </w:rPr>
        <w:t>, and the solution concept will be developed.  Subsequently, much of the focus will be on stability theory for these systems.</w:t>
      </w:r>
    </w:p>
    <w:p w:rsidR="00A56C4C" w:rsidRPr="00916CEE" w:rsidRDefault="00A56C4C" w:rsidP="00A56C4C">
      <w:pPr>
        <w:rPr>
          <w:rStyle w:val="Heading2Char"/>
          <w:lang w:val="en-US"/>
        </w:rPr>
      </w:pPr>
      <w:r>
        <w:rPr>
          <w:rStyle w:val="Heading2Char"/>
          <w:lang w:val="en-US"/>
        </w:rPr>
        <w:lastRenderedPageBreak/>
        <w:t>Literature list:</w:t>
      </w:r>
    </w:p>
    <w:p w:rsidR="00A56C4C" w:rsidRPr="00A56C4C" w:rsidRDefault="00A56C4C">
      <w:pPr>
        <w:rPr>
          <w:b/>
          <w:lang w:val="en-US"/>
        </w:rPr>
      </w:pPr>
      <w:r w:rsidRPr="00A56C4C">
        <w:rPr>
          <w:b/>
          <w:lang w:val="en-US"/>
        </w:rPr>
        <w:t>Non-stochastic hybrid systems:</w:t>
      </w:r>
    </w:p>
    <w:p w:rsidR="00A56C4C" w:rsidRDefault="00A56C4C">
      <w:pPr>
        <w:rPr>
          <w:lang w:val="en-US"/>
        </w:rPr>
      </w:pPr>
      <w:r>
        <w:rPr>
          <w:lang w:val="en-US"/>
        </w:rPr>
        <w:t xml:space="preserve">1) </w:t>
      </w:r>
      <w:r w:rsidRPr="00A56C4C">
        <w:rPr>
          <w:i/>
          <w:lang w:val="en-US"/>
        </w:rPr>
        <w:t>Hybrid Dynamical Systems</w:t>
      </w:r>
      <w:r w:rsidR="00631C4F">
        <w:rPr>
          <w:lang w:val="en-US"/>
        </w:rPr>
        <w:t xml:space="preserve">, </w:t>
      </w:r>
      <w:r w:rsidRPr="00423B7D">
        <w:rPr>
          <w:lang w:val="en-US"/>
        </w:rPr>
        <w:t xml:space="preserve">R. Goebel, R.G. </w:t>
      </w:r>
      <w:proofErr w:type="spellStart"/>
      <w:r w:rsidRPr="00423B7D">
        <w:rPr>
          <w:lang w:val="en-US"/>
        </w:rPr>
        <w:t>Sanfelice</w:t>
      </w:r>
      <w:proofErr w:type="spellEnd"/>
      <w:r w:rsidRPr="00423B7D">
        <w:rPr>
          <w:lang w:val="en-US"/>
        </w:rPr>
        <w:t>, and A.R. Teel, Princeton University Press, 2012.</w:t>
      </w:r>
      <w:r>
        <w:rPr>
          <w:lang w:val="en-US"/>
        </w:rPr>
        <w:t xml:space="preserve">  </w:t>
      </w:r>
    </w:p>
    <w:p w:rsidR="00A56C4C" w:rsidRDefault="00A56C4C">
      <w:pPr>
        <w:rPr>
          <w:lang w:val="en-US"/>
        </w:rPr>
      </w:pPr>
      <w:r>
        <w:rPr>
          <w:lang w:val="en-US"/>
        </w:rPr>
        <w:t xml:space="preserve">2) “Hybrid Dynamical Systems”, R. Goebel, R.G. </w:t>
      </w:r>
      <w:proofErr w:type="spellStart"/>
      <w:r>
        <w:rPr>
          <w:lang w:val="en-US"/>
        </w:rPr>
        <w:t>Sanfelice</w:t>
      </w:r>
      <w:proofErr w:type="spellEnd"/>
      <w:r>
        <w:rPr>
          <w:lang w:val="en-US"/>
        </w:rPr>
        <w:t xml:space="preserve">, and A.R. Teel, </w:t>
      </w:r>
      <w:r w:rsidRPr="00A56C4C">
        <w:rPr>
          <w:i/>
          <w:lang w:val="en-US"/>
        </w:rPr>
        <w:t>IEEE Control Systems Magazine</w:t>
      </w:r>
      <w:r>
        <w:rPr>
          <w:lang w:val="en-US"/>
        </w:rPr>
        <w:t xml:space="preserve">, vol. 29, no. 2, pp. 28-93. </w:t>
      </w:r>
    </w:p>
    <w:p w:rsidR="00A56C4C" w:rsidRDefault="00A56C4C">
      <w:pPr>
        <w:rPr>
          <w:b/>
          <w:lang w:val="en-US"/>
        </w:rPr>
      </w:pPr>
      <w:r w:rsidRPr="00A56C4C">
        <w:rPr>
          <w:b/>
          <w:lang w:val="en-US"/>
        </w:rPr>
        <w:t>Stochastic hybrid systems:</w:t>
      </w:r>
    </w:p>
    <w:p w:rsidR="00A56C4C" w:rsidRDefault="00A56C4C">
      <w:pPr>
        <w:rPr>
          <w:lang w:val="en-US"/>
        </w:rPr>
      </w:pPr>
      <w:r>
        <w:rPr>
          <w:lang w:val="en-US"/>
        </w:rPr>
        <w:t xml:space="preserve">1) “Stability analysis for stochastic hybrid systems: a survey”, A.R. Teel, A. </w:t>
      </w:r>
      <w:proofErr w:type="spellStart"/>
      <w:r>
        <w:rPr>
          <w:lang w:val="en-US"/>
        </w:rPr>
        <w:t>Subbaraman</w:t>
      </w:r>
      <w:proofErr w:type="spellEnd"/>
      <w:r>
        <w:rPr>
          <w:lang w:val="en-US"/>
        </w:rPr>
        <w:t xml:space="preserve">, and A. </w:t>
      </w:r>
      <w:proofErr w:type="spellStart"/>
      <w:r>
        <w:rPr>
          <w:lang w:val="en-US"/>
        </w:rPr>
        <w:t>Sferlazza</w:t>
      </w:r>
      <w:proofErr w:type="spellEnd"/>
      <w:r>
        <w:rPr>
          <w:lang w:val="en-US"/>
        </w:rPr>
        <w:t xml:space="preserve">, </w:t>
      </w:r>
      <w:proofErr w:type="spellStart"/>
      <w:r w:rsidRPr="00A56C4C">
        <w:rPr>
          <w:i/>
          <w:lang w:val="en-US"/>
        </w:rPr>
        <w:t>Automatica</w:t>
      </w:r>
      <w:proofErr w:type="spellEnd"/>
      <w:r w:rsidR="00631C4F">
        <w:rPr>
          <w:lang w:val="en-US"/>
        </w:rPr>
        <w:t xml:space="preserve">, vol. 50, no. 10, </w:t>
      </w:r>
      <w:r>
        <w:rPr>
          <w:lang w:val="en-US"/>
        </w:rPr>
        <w:t>2014, pp. 2435-2456.</w:t>
      </w:r>
    </w:p>
    <w:p w:rsidR="00A56C4C" w:rsidRDefault="00A56C4C">
      <w:pPr>
        <w:rPr>
          <w:lang w:val="en-US"/>
        </w:rPr>
      </w:pPr>
      <w:r>
        <w:rPr>
          <w:lang w:val="en-US"/>
        </w:rPr>
        <w:t>2) “</w:t>
      </w:r>
      <w:proofErr w:type="spellStart"/>
      <w:r>
        <w:rPr>
          <w:lang w:val="en-US"/>
        </w:rPr>
        <w:t>Lyapunov</w:t>
      </w:r>
      <w:proofErr w:type="spellEnd"/>
      <w:r>
        <w:rPr>
          <w:lang w:val="en-US"/>
        </w:rPr>
        <w:t xml:space="preserve"> conditions certifying stability and recurrence for a class of stochastic hybrid systems”, A.R. Teel, Annual Reviews in</w:t>
      </w:r>
      <w:r w:rsidR="00631C4F">
        <w:rPr>
          <w:lang w:val="en-US"/>
        </w:rPr>
        <w:t xml:space="preserve"> Control, vol. 37, no. 1, </w:t>
      </w:r>
      <w:r>
        <w:rPr>
          <w:lang w:val="en-US"/>
        </w:rPr>
        <w:t>2013, pp. 1-24.</w:t>
      </w:r>
    </w:p>
    <w:p w:rsidR="00A56C4C" w:rsidRDefault="00A56C4C">
      <w:pPr>
        <w:rPr>
          <w:lang w:val="en-US"/>
        </w:rPr>
      </w:pPr>
      <w:r>
        <w:rPr>
          <w:lang w:val="en-US"/>
        </w:rPr>
        <w:t xml:space="preserve">3) “On sequential compactness of solutions for a class of stochastic hybrid systems”, A.R. Teel, </w:t>
      </w:r>
      <w:r w:rsidRPr="00A56C4C">
        <w:rPr>
          <w:i/>
          <w:lang w:val="en-US"/>
        </w:rPr>
        <w:t>Proceedings of the American Control Conference</w:t>
      </w:r>
      <w:r>
        <w:rPr>
          <w:lang w:val="en-US"/>
        </w:rPr>
        <w:t xml:space="preserve">, </w:t>
      </w:r>
      <w:r w:rsidR="00631C4F">
        <w:rPr>
          <w:lang w:val="en-US"/>
        </w:rPr>
        <w:t>2014, pp. 4512-4517.</w:t>
      </w:r>
    </w:p>
    <w:p w:rsidR="00A56C4C" w:rsidRDefault="00A56C4C">
      <w:pPr>
        <w:rPr>
          <w:lang w:val="en-US"/>
        </w:rPr>
      </w:pPr>
      <w:r>
        <w:rPr>
          <w:lang w:val="en-US"/>
        </w:rPr>
        <w:t xml:space="preserve">4) “A </w:t>
      </w:r>
      <w:proofErr w:type="spellStart"/>
      <w:r>
        <w:rPr>
          <w:lang w:val="en-US"/>
        </w:rPr>
        <w:t>Krasovskii</w:t>
      </w:r>
      <w:proofErr w:type="spellEnd"/>
      <w:r>
        <w:rPr>
          <w:lang w:val="en-US"/>
        </w:rPr>
        <w:t xml:space="preserve">-LaSalle function based recurrence principle for a class of stochastic hybrid systems”, A. </w:t>
      </w:r>
      <w:proofErr w:type="spellStart"/>
      <w:r>
        <w:rPr>
          <w:lang w:val="en-US"/>
        </w:rPr>
        <w:t>Subbaraman</w:t>
      </w:r>
      <w:proofErr w:type="spellEnd"/>
      <w:r>
        <w:rPr>
          <w:lang w:val="en-US"/>
        </w:rPr>
        <w:t xml:space="preserve"> and A.R. Teel, </w:t>
      </w:r>
      <w:r w:rsidR="00631C4F">
        <w:rPr>
          <w:i/>
          <w:lang w:val="en-US"/>
        </w:rPr>
        <w:t>Proc. of the IEEE Conf.</w:t>
      </w:r>
      <w:r w:rsidRPr="00A56C4C">
        <w:rPr>
          <w:i/>
          <w:lang w:val="en-US"/>
        </w:rPr>
        <w:t xml:space="preserve"> on Decision and Control</w:t>
      </w:r>
      <w:r w:rsidR="00631C4F">
        <w:rPr>
          <w:lang w:val="en-US"/>
        </w:rPr>
        <w:t>, 2014, pp. 2310-2315.</w:t>
      </w:r>
    </w:p>
    <w:p w:rsidR="005463D5" w:rsidRDefault="00A56C4C">
      <w:pPr>
        <w:rPr>
          <w:lang w:val="en-US"/>
        </w:rPr>
      </w:pPr>
      <w:r>
        <w:rPr>
          <w:lang w:val="en-US"/>
        </w:rPr>
        <w:t xml:space="preserve">5) “Stochastic hybrid inclusions with diffusive flows”, A.R. Teel, </w:t>
      </w:r>
      <w:r w:rsidRPr="00A56C4C">
        <w:rPr>
          <w:i/>
          <w:lang w:val="en-US"/>
        </w:rPr>
        <w:t>Proceedings of the IEEE Conference on Decision and Control</w:t>
      </w:r>
      <w:r>
        <w:rPr>
          <w:lang w:val="en-US"/>
        </w:rPr>
        <w:t>, pp. 3071-3076, 2014.</w:t>
      </w:r>
    </w:p>
    <w:p w:rsidR="00916CEE" w:rsidRDefault="00916CEE">
      <w:pPr>
        <w:rPr>
          <w:lang w:val="en-US"/>
        </w:rPr>
      </w:pPr>
    </w:p>
    <w:p w:rsidR="00916CEE" w:rsidRPr="00916CEE" w:rsidRDefault="00916CEE" w:rsidP="00916CEE">
      <w:pPr>
        <w:rPr>
          <w:rFonts w:eastAsia="Times New Roman"/>
          <w:lang w:val="en-US"/>
        </w:rPr>
      </w:pPr>
      <w:r>
        <w:rPr>
          <w:rFonts w:eastAsia="Times New Roman"/>
          <w:lang w:val="en-US"/>
        </w:rPr>
        <w:t xml:space="preserve">6) </w:t>
      </w:r>
      <w:bookmarkStart w:id="0" w:name="_GoBack"/>
      <w:bookmarkEnd w:id="0"/>
      <w:r>
        <w:rPr>
          <w:rFonts w:eastAsia="Times New Roman"/>
          <w:lang w:val="en-US"/>
        </w:rPr>
        <w:t>B</w:t>
      </w:r>
      <w:r w:rsidRPr="00916CEE">
        <w:rPr>
          <w:rFonts w:eastAsia="Times New Roman"/>
          <w:lang w:val="en-US"/>
        </w:rPr>
        <w:t xml:space="preserve">ook by </w:t>
      </w:r>
      <w:proofErr w:type="spellStart"/>
      <w:r w:rsidRPr="00916CEE">
        <w:rPr>
          <w:rFonts w:eastAsia="Times New Roman"/>
          <w:lang w:val="en-US"/>
        </w:rPr>
        <w:t>Rockafellar</w:t>
      </w:r>
      <w:proofErr w:type="spellEnd"/>
      <w:r w:rsidRPr="00916CEE">
        <w:rPr>
          <w:rFonts w:eastAsia="Times New Roman"/>
          <w:lang w:val="en-US"/>
        </w:rPr>
        <w:t xml:space="preserve"> and Wets</w:t>
      </w:r>
      <w:r>
        <w:rPr>
          <w:rFonts w:eastAsia="Times New Roman"/>
          <w:lang w:val="en-US"/>
        </w:rPr>
        <w:t xml:space="preserve"> “</w:t>
      </w:r>
      <w:proofErr w:type="spellStart"/>
      <w:r>
        <w:rPr>
          <w:rFonts w:eastAsia="Times New Roman"/>
          <w:lang w:val="en-US"/>
        </w:rPr>
        <w:t>Variational</w:t>
      </w:r>
      <w:proofErr w:type="spellEnd"/>
      <w:r>
        <w:rPr>
          <w:rFonts w:eastAsia="Times New Roman"/>
          <w:lang w:val="en-US"/>
        </w:rPr>
        <w:t xml:space="preserve"> Analysis”.   The</w:t>
      </w:r>
      <w:r w:rsidRPr="00916CEE">
        <w:rPr>
          <w:rFonts w:eastAsia="Times New Roman"/>
          <w:lang w:val="en-US"/>
        </w:rPr>
        <w:t xml:space="preserve"> book i</w:t>
      </w:r>
      <w:r>
        <w:rPr>
          <w:rFonts w:eastAsia="Times New Roman"/>
          <w:lang w:val="en-US"/>
        </w:rPr>
        <w:t xml:space="preserve">s available online for free at </w:t>
      </w:r>
      <w:r w:rsidRPr="00916CEE">
        <w:rPr>
          <w:rFonts w:eastAsia="Times New Roman"/>
          <w:lang w:val="en-US"/>
        </w:rPr>
        <w:t xml:space="preserve">Professor </w:t>
      </w:r>
      <w:proofErr w:type="spellStart"/>
      <w:r w:rsidRPr="00916CEE">
        <w:rPr>
          <w:rFonts w:eastAsia="Times New Roman"/>
          <w:lang w:val="en-US"/>
        </w:rPr>
        <w:t>Rockafellar’s</w:t>
      </w:r>
      <w:proofErr w:type="spellEnd"/>
      <w:r w:rsidRPr="00916CEE">
        <w:rPr>
          <w:rFonts w:eastAsia="Times New Roman"/>
          <w:lang w:val="en-US"/>
        </w:rPr>
        <w:t xml:space="preserve"> website:</w:t>
      </w:r>
      <w:r>
        <w:rPr>
          <w:rFonts w:eastAsia="Times New Roman"/>
          <w:lang w:val="en-US"/>
        </w:rPr>
        <w:t xml:space="preserve"> </w:t>
      </w:r>
      <w:hyperlink r:id="rId6" w:history="1">
        <w:r w:rsidRPr="00916CEE">
          <w:rPr>
            <w:rStyle w:val="Hyperlink"/>
            <w:rFonts w:eastAsia="Times New Roman"/>
            <w:lang w:val="en-US"/>
          </w:rPr>
          <w:t>http://www.math.washington.edu/~rtr/papers/rtr169-VarAnalysis-RockWets.pdf</w:t>
        </w:r>
      </w:hyperlink>
    </w:p>
    <w:p w:rsidR="00916CEE" w:rsidRDefault="00916CEE">
      <w:pPr>
        <w:rPr>
          <w:lang w:val="en-US"/>
        </w:rPr>
      </w:pPr>
    </w:p>
    <w:p w:rsidR="005463D5" w:rsidRDefault="005463D5" w:rsidP="005463D5">
      <w:pPr>
        <w:rPr>
          <w:rStyle w:val="Heading2Char"/>
          <w:lang w:val="en-US"/>
        </w:rPr>
      </w:pPr>
    </w:p>
    <w:p w:rsidR="005463D5" w:rsidRPr="00916CEE" w:rsidRDefault="005463D5" w:rsidP="005463D5">
      <w:pPr>
        <w:rPr>
          <w:rStyle w:val="Heading2Char"/>
          <w:lang w:val="en-US"/>
        </w:rPr>
      </w:pPr>
      <w:r w:rsidRPr="00F5584B">
        <w:rPr>
          <w:rStyle w:val="Heading2Char"/>
          <w:lang w:val="en-US"/>
        </w:rPr>
        <w:t>About the lecturer</w:t>
      </w:r>
    </w:p>
    <w:p w:rsidR="00045993" w:rsidRPr="00423B7D" w:rsidRDefault="005463D5">
      <w:pPr>
        <w:rPr>
          <w:lang w:val="en-US"/>
        </w:rPr>
      </w:pPr>
      <w:r w:rsidRPr="00423B7D">
        <w:rPr>
          <w:rFonts w:eastAsia="Times New Roman"/>
          <w:noProof/>
          <w:lang w:eastAsia="nb-NO"/>
        </w:rPr>
        <w:drawing>
          <wp:anchor distT="0" distB="0" distL="114300" distR="114300" simplePos="0" relativeHeight="251662336" behindDoc="0" locked="0" layoutInCell="1" allowOverlap="1">
            <wp:simplePos x="0" y="0"/>
            <wp:positionH relativeFrom="column">
              <wp:posOffset>5080</wp:posOffset>
            </wp:positionH>
            <wp:positionV relativeFrom="paragraph">
              <wp:posOffset>65405</wp:posOffset>
            </wp:positionV>
            <wp:extent cx="2419350" cy="2389505"/>
            <wp:effectExtent l="0" t="0" r="0" b="0"/>
            <wp:wrapSquare wrapText="bothSides"/>
            <wp:docPr id="4" name="Picture 1" descr="cid:759efa2f-d5dc-4245-9700-26060d72869a@win.ntn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id:759efa2f-d5dc-4245-9700-26060d72869a@win.ntnu.no"/>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419350" cy="2389505"/>
                    </a:xfrm>
                    <a:prstGeom prst="rect">
                      <a:avLst/>
                    </a:prstGeom>
                    <a:noFill/>
                    <a:ln>
                      <a:noFill/>
                    </a:ln>
                  </pic:spPr>
                </pic:pic>
              </a:graphicData>
            </a:graphic>
          </wp:anchor>
        </w:drawing>
      </w:r>
      <w:r w:rsidRPr="00423B7D">
        <w:rPr>
          <w:rFonts w:eastAsia="Times New Roman"/>
          <w:sz w:val="20"/>
          <w:szCs w:val="20"/>
          <w:lang w:val="en-US"/>
        </w:rPr>
        <w:t xml:space="preserve">Andrew R. Teel received his A.B. degree in Engineering Sciences from Dartmouth College in Hanover, New Hampshire, in 1987, and his M.S. and Ph.D. degrees in Electrical Engineering from the University of California, Berkeley, in 1989 and 1992, respectively. After receiving his Ph.D., he was a postdoctoral fellow at the </w:t>
      </w:r>
      <w:proofErr w:type="spellStart"/>
      <w:r w:rsidRPr="00423B7D">
        <w:rPr>
          <w:rFonts w:eastAsia="Times New Roman"/>
          <w:sz w:val="20"/>
          <w:szCs w:val="20"/>
          <w:lang w:val="en-US"/>
        </w:rPr>
        <w:t>Ecole</w:t>
      </w:r>
      <w:proofErr w:type="spellEnd"/>
      <w:r w:rsidRPr="00423B7D">
        <w:rPr>
          <w:rFonts w:eastAsia="Times New Roman"/>
          <w:sz w:val="20"/>
          <w:szCs w:val="20"/>
          <w:lang w:val="en-US"/>
        </w:rPr>
        <w:t xml:space="preserve"> des Mines de Paris in Fontainebleau, France. In </w:t>
      </w:r>
      <w:proofErr w:type="gramStart"/>
      <w:r w:rsidRPr="00423B7D">
        <w:rPr>
          <w:rFonts w:eastAsia="Times New Roman"/>
          <w:sz w:val="20"/>
          <w:szCs w:val="20"/>
          <w:lang w:val="en-US"/>
        </w:rPr>
        <w:t>1992</w:t>
      </w:r>
      <w:proofErr w:type="gramEnd"/>
      <w:r w:rsidRPr="00423B7D">
        <w:rPr>
          <w:rFonts w:eastAsia="Times New Roman"/>
          <w:sz w:val="20"/>
          <w:szCs w:val="20"/>
          <w:lang w:val="en-US"/>
        </w:rPr>
        <w:t xml:space="preserve"> he joined the faculty of the Electrical Engineering Department at the University of Minnesota, where he was an assistant professor until 1997. Subsequently, he joined the faculty of the Electrical and Computer Engineering Department at the University of California, Santa Barbara, where he is currently a professor. </w:t>
      </w:r>
      <w:r w:rsidRPr="00423B7D">
        <w:rPr>
          <w:rFonts w:eastAsia="Times New Roman"/>
          <w:sz w:val="20"/>
          <w:szCs w:val="20"/>
          <w:lang w:val="en-US"/>
        </w:rPr>
        <w:lastRenderedPageBreak/>
        <w:t xml:space="preserve">His research interests are in nonlinear and hybrid dynamical systems, with a focus on stability analysis and control design. </w:t>
      </w:r>
      <w:proofErr w:type="gramStart"/>
      <w:r w:rsidRPr="00423B7D">
        <w:rPr>
          <w:rFonts w:eastAsia="Times New Roman"/>
          <w:sz w:val="20"/>
          <w:szCs w:val="20"/>
          <w:lang w:val="en-US"/>
        </w:rPr>
        <w:t xml:space="preserve">He has received NSF Research Initiation and CAREER Awards, the 1998 IEEE Leon K. </w:t>
      </w:r>
      <w:proofErr w:type="spellStart"/>
      <w:r w:rsidRPr="00423B7D">
        <w:rPr>
          <w:rFonts w:eastAsia="Times New Roman"/>
          <w:sz w:val="20"/>
          <w:szCs w:val="20"/>
          <w:lang w:val="en-US"/>
        </w:rPr>
        <w:t>Kirchmayer</w:t>
      </w:r>
      <w:proofErr w:type="spellEnd"/>
      <w:r w:rsidRPr="00423B7D">
        <w:rPr>
          <w:rFonts w:eastAsia="Times New Roman"/>
          <w:sz w:val="20"/>
          <w:szCs w:val="20"/>
          <w:lang w:val="en-US"/>
        </w:rPr>
        <w:t xml:space="preserve"> Prize Paper Award, the 1998 George S. </w:t>
      </w:r>
      <w:proofErr w:type="spellStart"/>
      <w:r w:rsidRPr="00423B7D">
        <w:rPr>
          <w:rFonts w:eastAsia="Times New Roman"/>
          <w:sz w:val="20"/>
          <w:szCs w:val="20"/>
          <w:lang w:val="en-US"/>
        </w:rPr>
        <w:t>Axelby</w:t>
      </w:r>
      <w:proofErr w:type="spellEnd"/>
      <w:r w:rsidRPr="00423B7D">
        <w:rPr>
          <w:rFonts w:eastAsia="Times New Roman"/>
          <w:sz w:val="20"/>
          <w:szCs w:val="20"/>
          <w:lang w:val="en-US"/>
        </w:rPr>
        <w:t xml:space="preserve"> Outstanding Paper Award, and was the recipient of the first SIAM Control and Systems Theory Prize in 1998.</w:t>
      </w:r>
      <w:proofErr w:type="gramEnd"/>
      <w:r w:rsidRPr="00423B7D">
        <w:rPr>
          <w:rFonts w:eastAsia="Times New Roman"/>
          <w:sz w:val="20"/>
          <w:szCs w:val="20"/>
          <w:lang w:val="en-US"/>
        </w:rPr>
        <w:t xml:space="preserve"> He was the recipient of the 1999 Donald P. </w:t>
      </w:r>
      <w:proofErr w:type="spellStart"/>
      <w:r w:rsidRPr="00423B7D">
        <w:rPr>
          <w:rFonts w:eastAsia="Times New Roman"/>
          <w:sz w:val="20"/>
          <w:szCs w:val="20"/>
          <w:lang w:val="en-US"/>
        </w:rPr>
        <w:t>Eckman</w:t>
      </w:r>
      <w:proofErr w:type="spellEnd"/>
      <w:r w:rsidRPr="00423B7D">
        <w:rPr>
          <w:rFonts w:eastAsia="Times New Roman"/>
          <w:sz w:val="20"/>
          <w:szCs w:val="20"/>
          <w:lang w:val="en-US"/>
        </w:rPr>
        <w:t xml:space="preserve"> Award and the 2001 O. Hugo </w:t>
      </w:r>
      <w:proofErr w:type="spellStart"/>
      <w:r w:rsidRPr="00423B7D">
        <w:rPr>
          <w:rFonts w:eastAsia="Times New Roman"/>
          <w:sz w:val="20"/>
          <w:szCs w:val="20"/>
          <w:lang w:val="en-US"/>
        </w:rPr>
        <w:t>Schuck</w:t>
      </w:r>
      <w:proofErr w:type="spellEnd"/>
      <w:r w:rsidRPr="00423B7D">
        <w:rPr>
          <w:rFonts w:eastAsia="Times New Roman"/>
          <w:sz w:val="20"/>
          <w:szCs w:val="20"/>
          <w:lang w:val="en-US"/>
        </w:rPr>
        <w:t xml:space="preserve"> Best Paper Award, both given by the American Automatic Control Council, and also received the 2010 IEE Control Systems Magazine Outstanding Paper Award. He is an area editor for </w:t>
      </w:r>
      <w:proofErr w:type="spellStart"/>
      <w:r w:rsidRPr="00423B7D">
        <w:rPr>
          <w:rFonts w:eastAsia="Times New Roman"/>
          <w:sz w:val="20"/>
          <w:szCs w:val="20"/>
          <w:lang w:val="en-US"/>
        </w:rPr>
        <w:t>Automatica</w:t>
      </w:r>
      <w:proofErr w:type="spellEnd"/>
      <w:r w:rsidRPr="00423B7D">
        <w:rPr>
          <w:rFonts w:eastAsia="Times New Roman"/>
          <w:sz w:val="20"/>
          <w:szCs w:val="20"/>
          <w:lang w:val="en-US"/>
        </w:rPr>
        <w:t>, and a Fellow of the IEEE and of IFAC.</w:t>
      </w:r>
    </w:p>
    <w:sectPr w:rsidR="00045993" w:rsidRPr="00423B7D" w:rsidSect="005F56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compat>
    <w:compatSetting w:name="compatibilityMode" w:uri="http://schemas.microsoft.com/office/word" w:val="12"/>
  </w:compat>
  <w:rsids>
    <w:rsidRoot w:val="00BA033F"/>
    <w:rsid w:val="00045993"/>
    <w:rsid w:val="000827FE"/>
    <w:rsid w:val="00231F27"/>
    <w:rsid w:val="002637F0"/>
    <w:rsid w:val="00365E8C"/>
    <w:rsid w:val="00423B7D"/>
    <w:rsid w:val="005463D5"/>
    <w:rsid w:val="005F56E4"/>
    <w:rsid w:val="00631C4F"/>
    <w:rsid w:val="008B160F"/>
    <w:rsid w:val="009078EA"/>
    <w:rsid w:val="00916CEE"/>
    <w:rsid w:val="00A56C4C"/>
    <w:rsid w:val="00A675A6"/>
    <w:rsid w:val="00AE457C"/>
    <w:rsid w:val="00BA033F"/>
    <w:rsid w:val="00BA6D8F"/>
    <w:rsid w:val="00D72BEA"/>
    <w:rsid w:val="00DD2313"/>
    <w:rsid w:val="00EC769C"/>
    <w:rsid w:val="00F24A8F"/>
    <w:rsid w:val="00F5584B"/>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D7B61-3992-4C2E-8BBB-8551C4CC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6E4"/>
  </w:style>
  <w:style w:type="paragraph" w:styleId="Heading1">
    <w:name w:val="heading 1"/>
    <w:basedOn w:val="Normal"/>
    <w:next w:val="Normal"/>
    <w:link w:val="Heading1Char"/>
    <w:uiPriority w:val="9"/>
    <w:qFormat/>
    <w:rsid w:val="000459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76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5993"/>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0459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93"/>
    <w:rPr>
      <w:rFonts w:ascii="Tahoma" w:hAnsi="Tahoma" w:cs="Tahoma"/>
      <w:sz w:val="16"/>
      <w:szCs w:val="16"/>
    </w:rPr>
  </w:style>
  <w:style w:type="character" w:styleId="Strong">
    <w:name w:val="Strong"/>
    <w:basedOn w:val="DefaultParagraphFont"/>
    <w:uiPriority w:val="22"/>
    <w:qFormat/>
    <w:rsid w:val="00D72BEA"/>
    <w:rPr>
      <w:b/>
      <w:bCs/>
    </w:rPr>
  </w:style>
  <w:style w:type="character" w:customStyle="1" w:styleId="Heading2Char">
    <w:name w:val="Heading 2 Char"/>
    <w:basedOn w:val="DefaultParagraphFont"/>
    <w:link w:val="Heading2"/>
    <w:uiPriority w:val="9"/>
    <w:rsid w:val="00EC769C"/>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DD2313"/>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D2313"/>
    <w:rPr>
      <w:rFonts w:ascii="Lucida Grande" w:hAnsi="Lucida Grande"/>
      <w:sz w:val="24"/>
      <w:szCs w:val="24"/>
    </w:rPr>
  </w:style>
  <w:style w:type="character" w:styleId="Hyperlink">
    <w:name w:val="Hyperlink"/>
    <w:basedOn w:val="DefaultParagraphFont"/>
    <w:uiPriority w:val="99"/>
    <w:semiHidden/>
    <w:unhideWhenUsed/>
    <w:rsid w:val="00916C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00068">
      <w:bodyDiv w:val="1"/>
      <w:marLeft w:val="0"/>
      <w:marRight w:val="0"/>
      <w:marTop w:val="0"/>
      <w:marBottom w:val="0"/>
      <w:divBdr>
        <w:top w:val="none" w:sz="0" w:space="0" w:color="auto"/>
        <w:left w:val="none" w:sz="0" w:space="0" w:color="auto"/>
        <w:bottom w:val="none" w:sz="0" w:space="0" w:color="auto"/>
        <w:right w:val="none" w:sz="0" w:space="0" w:color="auto"/>
      </w:divBdr>
    </w:div>
    <w:div w:id="12913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759efa2f-d5dc-4245-9700-26060d72869a@win.ntnu.no" TargetMode="Externa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th.washington.edu/~rtr/papers/rtr169-VarAnalysis-RockWets.pdf" TargetMode="Externa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920</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Fakultet for Ingeniørvitenskap og Teknologi, NTNU</Company>
  <LinksUpToDate>false</LinksUpToDate>
  <CharactersWithSpaces>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Skjetne</dc:creator>
  <cp:keywords/>
  <dc:description/>
  <cp:lastModifiedBy>Astrid H. Brodtkorb</cp:lastModifiedBy>
  <cp:revision>10</cp:revision>
  <dcterms:created xsi:type="dcterms:W3CDTF">2015-08-21T17:44:00Z</dcterms:created>
  <dcterms:modified xsi:type="dcterms:W3CDTF">2015-08-25T06:27:00Z</dcterms:modified>
</cp:coreProperties>
</file>