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C51C" w14:textId="77777777" w:rsidR="00AD59C1" w:rsidRPr="00AD59C1" w:rsidRDefault="00AD59C1" w:rsidP="00EA4857">
      <w:pPr>
        <w:spacing w:after="0" w:line="240" w:lineRule="auto"/>
        <w:rPr>
          <w:lang w:val="en-US"/>
        </w:rPr>
      </w:pPr>
      <w:bookmarkStart w:id="0" w:name="_GoBack"/>
      <w:r w:rsidRPr="00AD59C1">
        <w:rPr>
          <w:lang w:val="en-US"/>
        </w:rPr>
        <w:t>Workshop: Thesis Boot Camp (TBC)</w:t>
      </w:r>
    </w:p>
    <w:p w14:paraId="59E18422" w14:textId="77777777" w:rsidR="00AD59C1" w:rsidRPr="00AD59C1" w:rsidRDefault="00AD59C1" w:rsidP="00EA4857">
      <w:pPr>
        <w:spacing w:after="0" w:line="240" w:lineRule="auto"/>
        <w:rPr>
          <w:lang w:val="en-US"/>
        </w:rPr>
      </w:pPr>
      <w:r>
        <w:rPr>
          <w:lang w:val="en-US"/>
        </w:rPr>
        <w:t>Dates: September 21 - 23</w:t>
      </w:r>
    </w:p>
    <w:p w14:paraId="3B96F8B3" w14:textId="77777777" w:rsidR="00AD59C1" w:rsidRPr="00AD59C1" w:rsidRDefault="00AD59C1" w:rsidP="00EA4857">
      <w:pPr>
        <w:spacing w:after="0" w:line="240" w:lineRule="auto"/>
        <w:rPr>
          <w:lang w:val="en-US"/>
        </w:rPr>
      </w:pPr>
      <w:r w:rsidRPr="00AD59C1">
        <w:rPr>
          <w:lang w:val="en-US"/>
        </w:rPr>
        <w:t>Instructor: Dr.</w:t>
      </w:r>
      <w:r>
        <w:rPr>
          <w:lang w:val="en-US"/>
        </w:rPr>
        <w:t xml:space="preserve"> Peta Freestone</w:t>
      </w:r>
    </w:p>
    <w:p w14:paraId="29CFB788" w14:textId="77777777" w:rsidR="00AD59C1" w:rsidRPr="00AD59C1" w:rsidRDefault="00AD59C1" w:rsidP="00EA4857">
      <w:pPr>
        <w:spacing w:after="0" w:line="240" w:lineRule="auto"/>
        <w:rPr>
          <w:lang w:val="en-US"/>
        </w:rPr>
      </w:pPr>
      <w:r w:rsidRPr="00AD59C1">
        <w:rPr>
          <w:lang w:val="en-US"/>
        </w:rPr>
        <w:t>ECTS: 0</w:t>
      </w:r>
    </w:p>
    <w:bookmarkEnd w:id="0"/>
    <w:p w14:paraId="20C0A158" w14:textId="77777777" w:rsidR="00AD59C1" w:rsidRDefault="00AD59C1" w:rsidP="00AD59C1">
      <w:pPr>
        <w:rPr>
          <w:lang w:val="en-US"/>
        </w:rPr>
      </w:pPr>
    </w:p>
    <w:p w14:paraId="18FA64A5" w14:textId="77777777" w:rsidR="00AD59C1" w:rsidRPr="00AD59C1" w:rsidRDefault="00AD59C1" w:rsidP="00AD59C1">
      <w:pPr>
        <w:spacing w:line="240" w:lineRule="auto"/>
        <w:rPr>
          <w:lang w:val="en-US"/>
        </w:rPr>
      </w:pPr>
      <w:r w:rsidRPr="00AD59C1">
        <w:rPr>
          <w:lang w:val="en-US"/>
        </w:rPr>
        <w:t>Reaching the stage of completing the first draft of a PhD dissertation can be a daunting task.</w:t>
      </w:r>
    </w:p>
    <w:p w14:paraId="58F3BFD8" w14:textId="77777777" w:rsidR="00AD59C1" w:rsidRPr="00AD59C1" w:rsidRDefault="00AD59C1" w:rsidP="00AD59C1">
      <w:pPr>
        <w:spacing w:line="240" w:lineRule="auto"/>
        <w:rPr>
          <w:lang w:val="en-US"/>
        </w:rPr>
      </w:pPr>
      <w:r w:rsidRPr="00AD59C1">
        <w:rPr>
          <w:lang w:val="en-US"/>
        </w:rPr>
        <w:t>Organizing PhD boot camps to help candidates reach these finishing stages is common in</w:t>
      </w:r>
    </w:p>
    <w:p w14:paraId="1A139A43" w14:textId="77777777" w:rsidR="00AD59C1" w:rsidRDefault="00AD59C1" w:rsidP="00AD59C1">
      <w:pPr>
        <w:spacing w:line="240" w:lineRule="auto"/>
        <w:rPr>
          <w:lang w:val="en-US"/>
        </w:rPr>
      </w:pPr>
      <w:r w:rsidRPr="00AD59C1">
        <w:rPr>
          <w:lang w:val="en-US"/>
        </w:rPr>
        <w:t>universities across the US and Australia, and the trend is spreading. The boot camps are</w:t>
      </w:r>
      <w:r>
        <w:rPr>
          <w:lang w:val="en-US"/>
        </w:rPr>
        <w:t xml:space="preserve"> </w:t>
      </w:r>
    </w:p>
    <w:p w14:paraId="7D11B92E" w14:textId="04694F6D" w:rsidR="00AD59C1" w:rsidRDefault="00AD59C1" w:rsidP="00AD59C1">
      <w:pPr>
        <w:spacing w:line="360" w:lineRule="auto"/>
        <w:rPr>
          <w:lang w:val="en-US"/>
        </w:rPr>
      </w:pPr>
      <w:r w:rsidRPr="00AD59C1">
        <w:rPr>
          <w:lang w:val="en-US"/>
        </w:rPr>
        <w:t xml:space="preserve">intensive writing programs that are conducted </w:t>
      </w:r>
      <w:r>
        <w:rPr>
          <w:lang w:val="en-US"/>
        </w:rPr>
        <w:t>over three days</w:t>
      </w:r>
      <w:r w:rsidRPr="00AD59C1">
        <w:rPr>
          <w:lang w:val="en-US"/>
        </w:rPr>
        <w:t>. The boot camps’</w:t>
      </w:r>
      <w:r>
        <w:rPr>
          <w:lang w:val="en-US"/>
        </w:rPr>
        <w:t xml:space="preserve"> </w:t>
      </w:r>
      <w:r w:rsidRPr="00AD59C1">
        <w:rPr>
          <w:lang w:val="en-US"/>
        </w:rPr>
        <w:t>aims are to help PhD candidates make significant progress on their thesis, thus helping them</w:t>
      </w:r>
      <w:r>
        <w:rPr>
          <w:lang w:val="en-US"/>
        </w:rPr>
        <w:t xml:space="preserve"> </w:t>
      </w:r>
      <w:r w:rsidRPr="00AD59C1">
        <w:rPr>
          <w:lang w:val="en-US"/>
        </w:rPr>
        <w:t>finish their projects, and to help candidates become better writers.</w:t>
      </w:r>
      <w:r w:rsidR="00AB5637">
        <w:rPr>
          <w:lang w:val="en-US"/>
        </w:rPr>
        <w:t xml:space="preserve"> Those writing their dissertation in another language than English are also welcome to join! </w:t>
      </w:r>
    </w:p>
    <w:p w14:paraId="2BFA066F" w14:textId="77777777" w:rsidR="00AD59C1" w:rsidRPr="00AD59C1" w:rsidRDefault="00AD59C1" w:rsidP="00AD59C1">
      <w:pPr>
        <w:spacing w:line="240" w:lineRule="auto"/>
        <w:rPr>
          <w:lang w:val="en-US"/>
        </w:rPr>
      </w:pPr>
      <w:r w:rsidRPr="00AD59C1">
        <w:rPr>
          <w:lang w:val="en-US"/>
        </w:rPr>
        <w:t>Before the thesis boot camp (TBC) each participant will be asked to prepare a chapter and a</w:t>
      </w:r>
    </w:p>
    <w:p w14:paraId="31D59961" w14:textId="77777777" w:rsidR="00AD59C1" w:rsidRPr="00AD59C1" w:rsidRDefault="00AD59C1" w:rsidP="00AD59C1">
      <w:pPr>
        <w:spacing w:line="240" w:lineRule="auto"/>
        <w:rPr>
          <w:lang w:val="en-US"/>
        </w:rPr>
      </w:pPr>
      <w:r w:rsidRPr="00AD59C1">
        <w:rPr>
          <w:lang w:val="en-US"/>
        </w:rPr>
        <w:t>thesis outline, revisit key literature, start to identify challenges they face and consider how</w:t>
      </w:r>
    </w:p>
    <w:p w14:paraId="6A69FBE5" w14:textId="77777777" w:rsidR="00AD59C1" w:rsidRPr="00AD59C1" w:rsidRDefault="00AD59C1" w:rsidP="00AD59C1">
      <w:pPr>
        <w:spacing w:line="240" w:lineRule="auto"/>
        <w:rPr>
          <w:lang w:val="en-US"/>
        </w:rPr>
      </w:pPr>
      <w:r w:rsidRPr="00AD59C1">
        <w:rPr>
          <w:lang w:val="en-US"/>
        </w:rPr>
        <w:t>they communicate their research. Participants will also receive recommendations from Dr.</w:t>
      </w:r>
    </w:p>
    <w:p w14:paraId="7EF18257" w14:textId="77777777" w:rsidR="00AD59C1" w:rsidRPr="00AD59C1" w:rsidRDefault="00AD59C1" w:rsidP="00AD59C1">
      <w:pPr>
        <w:spacing w:line="240" w:lineRule="auto"/>
        <w:rPr>
          <w:lang w:val="en-US"/>
        </w:rPr>
      </w:pPr>
      <w:r w:rsidRPr="00AD59C1">
        <w:rPr>
          <w:lang w:val="en-US"/>
        </w:rPr>
        <w:t xml:space="preserve">Freestone </w:t>
      </w:r>
      <w:r>
        <w:rPr>
          <w:lang w:val="en-US"/>
        </w:rPr>
        <w:t xml:space="preserve">after the session is completed. </w:t>
      </w:r>
      <w:r w:rsidRPr="00AD59C1">
        <w:rPr>
          <w:lang w:val="en-US"/>
        </w:rPr>
        <w:t>Dr. Peta Freestone will pro</w:t>
      </w:r>
      <w:r>
        <w:rPr>
          <w:lang w:val="en-US"/>
        </w:rPr>
        <w:t>vide guidance throughout.</w:t>
      </w:r>
      <w:r w:rsidRPr="00AD59C1">
        <w:rPr>
          <w:lang w:val="en-US"/>
        </w:rPr>
        <w:t xml:space="preserve"> </w:t>
      </w:r>
    </w:p>
    <w:p w14:paraId="12223101" w14:textId="42D335E6" w:rsidR="00AD59C1" w:rsidRPr="00AD59C1" w:rsidRDefault="00AD59C1" w:rsidP="00EA4857">
      <w:pPr>
        <w:spacing w:line="360" w:lineRule="auto"/>
        <w:rPr>
          <w:lang w:val="en-US"/>
        </w:rPr>
      </w:pPr>
      <w:r w:rsidRPr="00AD59C1">
        <w:rPr>
          <w:lang w:val="en-US"/>
        </w:rPr>
        <w:t>The TBC is open for up to 35 doctoral students</w:t>
      </w:r>
      <w:r w:rsidR="00EA4857">
        <w:rPr>
          <w:lang w:val="en-US"/>
        </w:rPr>
        <w:t xml:space="preserve"> on a</w:t>
      </w:r>
      <w:r w:rsidRPr="00AD59C1">
        <w:rPr>
          <w:rFonts w:eastAsia="Times New Roman" w:cs="Times New Roman"/>
          <w:szCs w:val="24"/>
          <w:lang w:val="en-US" w:eastAsia="en-GB"/>
        </w:rPr>
        <w:t xml:space="preserve"> first come, first served b</w:t>
      </w:r>
      <w:r w:rsidRPr="00AD59C1">
        <w:rPr>
          <w:rFonts w:eastAsia="Times New Roman" w:cs="Times New Roman"/>
          <w:szCs w:val="24"/>
          <w:lang w:val="en-US" w:eastAsia="en-GB"/>
        </w:rPr>
        <w:t>asis for suitable registrations</w:t>
      </w:r>
      <w:r w:rsidRPr="00AD59C1">
        <w:rPr>
          <w:lang w:val="en-US"/>
        </w:rPr>
        <w:t>.</w:t>
      </w:r>
    </w:p>
    <w:p w14:paraId="44BEAE55" w14:textId="77777777" w:rsidR="00AD59C1" w:rsidRPr="00AD59C1" w:rsidRDefault="00AD59C1" w:rsidP="00AD59C1">
      <w:pPr>
        <w:spacing w:line="240" w:lineRule="auto"/>
        <w:rPr>
          <w:lang w:val="en-US"/>
        </w:rPr>
      </w:pPr>
      <w:r w:rsidRPr="00AD59C1">
        <w:rPr>
          <w:lang w:val="en-US"/>
        </w:rPr>
        <w:t>Program: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693"/>
        <w:gridCol w:w="2688"/>
      </w:tblGrid>
      <w:tr w:rsidR="009D3FE1" w14:paraId="29611DFC" w14:textId="77777777" w:rsidTr="009D3FE1">
        <w:tc>
          <w:tcPr>
            <w:tcW w:w="1129" w:type="dxa"/>
          </w:tcPr>
          <w:p w14:paraId="22BF4B3D" w14:textId="30E20AE6" w:rsidR="009D3FE1" w:rsidRDefault="009D3FE1" w:rsidP="00AD59C1">
            <w:pPr>
              <w:rPr>
                <w:lang w:val="en-US"/>
              </w:rPr>
            </w:pPr>
            <w:r>
              <w:rPr>
                <w:lang w:val="en-US"/>
              </w:rPr>
              <w:t xml:space="preserve">Time </w:t>
            </w:r>
          </w:p>
        </w:tc>
        <w:tc>
          <w:tcPr>
            <w:tcW w:w="2552" w:type="dxa"/>
          </w:tcPr>
          <w:p w14:paraId="1FB631B0" w14:textId="3FF69042" w:rsidR="009D3FE1" w:rsidRDefault="009D3FE1" w:rsidP="00AD59C1">
            <w:pPr>
              <w:rPr>
                <w:lang w:val="en-US"/>
              </w:rPr>
            </w:pPr>
            <w:r>
              <w:rPr>
                <w:lang w:val="en-US"/>
              </w:rPr>
              <w:t>Monday, Sept. 21st</w:t>
            </w:r>
          </w:p>
        </w:tc>
        <w:tc>
          <w:tcPr>
            <w:tcW w:w="2693" w:type="dxa"/>
          </w:tcPr>
          <w:p w14:paraId="2B9CEE34" w14:textId="1B52A34D" w:rsidR="009D3FE1" w:rsidRDefault="009D3FE1" w:rsidP="00AD59C1">
            <w:pPr>
              <w:rPr>
                <w:lang w:val="en-US"/>
              </w:rPr>
            </w:pPr>
            <w:r>
              <w:rPr>
                <w:lang w:val="en-US"/>
              </w:rPr>
              <w:t>Tuesday, Sept. 22nd</w:t>
            </w:r>
          </w:p>
        </w:tc>
        <w:tc>
          <w:tcPr>
            <w:tcW w:w="2688" w:type="dxa"/>
          </w:tcPr>
          <w:p w14:paraId="3E6AFC62" w14:textId="0D10A6F6" w:rsidR="009D3FE1" w:rsidRDefault="009D3FE1" w:rsidP="00AD59C1">
            <w:pPr>
              <w:rPr>
                <w:lang w:val="en-US"/>
              </w:rPr>
            </w:pPr>
            <w:r>
              <w:rPr>
                <w:lang w:val="en-US"/>
              </w:rPr>
              <w:t>Wednesday, Sept. 23rd</w:t>
            </w:r>
          </w:p>
        </w:tc>
      </w:tr>
      <w:tr w:rsidR="009D3FE1" w14:paraId="79539606" w14:textId="77777777" w:rsidTr="009D3FE1">
        <w:tc>
          <w:tcPr>
            <w:tcW w:w="1129" w:type="dxa"/>
          </w:tcPr>
          <w:p w14:paraId="0DC812FC" w14:textId="39B4820F" w:rsidR="009D3FE1" w:rsidRDefault="009D3FE1" w:rsidP="00AD59C1">
            <w:pPr>
              <w:rPr>
                <w:lang w:val="en-US"/>
              </w:rPr>
            </w:pPr>
            <w:r>
              <w:rPr>
                <w:lang w:val="en-US"/>
              </w:rPr>
              <w:t>10:00</w:t>
            </w:r>
          </w:p>
        </w:tc>
        <w:tc>
          <w:tcPr>
            <w:tcW w:w="2552" w:type="dxa"/>
          </w:tcPr>
          <w:p w14:paraId="7FDB2504" w14:textId="77777777" w:rsidR="009D3FE1" w:rsidRDefault="009D3FE1" w:rsidP="009D3F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9D3FE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Intro and logistics</w:t>
            </w:r>
          </w:p>
          <w:p w14:paraId="4F8CF722" w14:textId="5BCFE074" w:rsidR="009D3FE1" w:rsidRDefault="009D3FE1" w:rsidP="009D3FE1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14:paraId="6DF1A5EC" w14:textId="79EB9B9E" w:rsidR="009D3FE1" w:rsidRDefault="005265CC" w:rsidP="005265CC">
            <w:pPr>
              <w:jc w:val="center"/>
              <w:rPr>
                <w:lang w:val="en-US"/>
              </w:rPr>
            </w:pPr>
            <w:r w:rsidRPr="009D3FE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 xml:space="preserve">The importance of the first </w:t>
            </w:r>
            <w:r w:rsidRPr="009D3FE1">
              <w:rPr>
                <w:rFonts w:ascii="Calibri (Body)" w:eastAsia="Times New Roman" w:hAnsi="Calibri (Body)" w:cs="Calibri"/>
                <w:b/>
                <w:bCs/>
                <w:color w:val="000000"/>
                <w:sz w:val="22"/>
                <w:u w:val="single"/>
                <w:lang w:val="en-US"/>
              </w:rPr>
              <w:t>full</w:t>
            </w:r>
            <w:r w:rsidRPr="009D3FE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 xml:space="preserve"> draft</w:t>
            </w:r>
          </w:p>
        </w:tc>
        <w:tc>
          <w:tcPr>
            <w:tcW w:w="2688" w:type="dxa"/>
          </w:tcPr>
          <w:p w14:paraId="6A772F04" w14:textId="7C4B1A96" w:rsidR="009D3FE1" w:rsidRDefault="005265CC" w:rsidP="005265CC">
            <w:pPr>
              <w:rPr>
                <w:lang w:val="en-US"/>
              </w:rPr>
            </w:pPr>
            <w:r w:rsidRPr="009D3FE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Editing your thesis</w:t>
            </w:r>
            <w:r w:rsidRPr="009D3FE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br/>
            </w:r>
          </w:p>
        </w:tc>
      </w:tr>
      <w:tr w:rsidR="009D3FE1" w14:paraId="3C2B3ECB" w14:textId="77777777" w:rsidTr="009D3FE1">
        <w:tc>
          <w:tcPr>
            <w:tcW w:w="1129" w:type="dxa"/>
          </w:tcPr>
          <w:p w14:paraId="16AF61C3" w14:textId="7B931BDB" w:rsidR="009D3FE1" w:rsidRDefault="005265CC" w:rsidP="00AD59C1">
            <w:pPr>
              <w:rPr>
                <w:lang w:val="en-US"/>
              </w:rPr>
            </w:pPr>
            <w:r>
              <w:rPr>
                <w:lang w:val="en-US"/>
              </w:rPr>
              <w:t>10:30 /</w:t>
            </w:r>
            <w:r w:rsidR="009D3FE1">
              <w:rPr>
                <w:lang w:val="en-US"/>
              </w:rPr>
              <w:t>11:00</w:t>
            </w:r>
          </w:p>
        </w:tc>
        <w:tc>
          <w:tcPr>
            <w:tcW w:w="2552" w:type="dxa"/>
          </w:tcPr>
          <w:p w14:paraId="50E2B647" w14:textId="77777777" w:rsidR="009D3FE1" w:rsidRDefault="009D3FE1" w:rsidP="009D3FE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</w:pPr>
            <w:r w:rsidRPr="009D3FE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 xml:space="preserve">Strategies for writing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 xml:space="preserve">efficiently – </w:t>
            </w:r>
          </w:p>
          <w:p w14:paraId="614639CC" w14:textId="2477B077" w:rsidR="009D3FE1" w:rsidRDefault="009D3FE1" w:rsidP="009D3FE1">
            <w:pPr>
              <w:rPr>
                <w:lang w:val="en-US"/>
              </w:rPr>
            </w:pPr>
            <w:r w:rsidRPr="009D3FE1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US"/>
              </w:rPr>
              <w:t>Drafting like a pro(f)</w:t>
            </w:r>
          </w:p>
        </w:tc>
        <w:tc>
          <w:tcPr>
            <w:tcW w:w="2693" w:type="dxa"/>
          </w:tcPr>
          <w:p w14:paraId="5E243DA5" w14:textId="5EBDFEB2" w:rsidR="009D3FE1" w:rsidRDefault="005265CC" w:rsidP="005265CC">
            <w:pPr>
              <w:jc w:val="center"/>
              <w:rPr>
                <w:lang w:val="en-US"/>
              </w:rPr>
            </w:pPr>
            <w:r w:rsidRPr="009D3FE1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US"/>
              </w:rPr>
              <w:t>From individual chapters to cohesive document</w:t>
            </w:r>
          </w:p>
        </w:tc>
        <w:tc>
          <w:tcPr>
            <w:tcW w:w="2688" w:type="dxa"/>
          </w:tcPr>
          <w:p w14:paraId="2F5DCA6B" w14:textId="6847F5E9" w:rsidR="009D3FE1" w:rsidRDefault="005265CC" w:rsidP="00AD59C1">
            <w:pPr>
              <w:rPr>
                <w:lang w:val="en-US"/>
              </w:rPr>
            </w:pPr>
            <w:r w:rsidRPr="009D3FE1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US"/>
              </w:rPr>
              <w:t>Macro, meso and micro strategies</w:t>
            </w:r>
          </w:p>
        </w:tc>
      </w:tr>
      <w:tr w:rsidR="009D3FE1" w14:paraId="6A0593E3" w14:textId="77777777" w:rsidTr="009D3FE1">
        <w:tc>
          <w:tcPr>
            <w:tcW w:w="1129" w:type="dxa"/>
          </w:tcPr>
          <w:p w14:paraId="6214B601" w14:textId="7F8AAA0B" w:rsidR="009D3FE1" w:rsidRDefault="009D3FE1" w:rsidP="00AD59C1">
            <w:pPr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2552" w:type="dxa"/>
          </w:tcPr>
          <w:p w14:paraId="4F973069" w14:textId="6ACB90B6" w:rsidR="009D3FE1" w:rsidRDefault="009D3FE1" w:rsidP="00AD59C1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2693" w:type="dxa"/>
          </w:tcPr>
          <w:p w14:paraId="76290322" w14:textId="4CE3B28D" w:rsidR="009D3FE1" w:rsidRDefault="005265CC" w:rsidP="00AD59C1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2688" w:type="dxa"/>
          </w:tcPr>
          <w:p w14:paraId="1E6A2B23" w14:textId="5645A31D" w:rsidR="009D3FE1" w:rsidRDefault="005265CC" w:rsidP="00AD59C1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  <w:tr w:rsidR="009D3FE1" w14:paraId="581C0DC3" w14:textId="77777777" w:rsidTr="009D3FE1">
        <w:tc>
          <w:tcPr>
            <w:tcW w:w="1129" w:type="dxa"/>
          </w:tcPr>
          <w:p w14:paraId="730751D0" w14:textId="0C81BCA2" w:rsidR="009D3FE1" w:rsidRDefault="009D3FE1" w:rsidP="009D3FE1">
            <w:pPr>
              <w:rPr>
                <w:lang w:val="en-US"/>
              </w:rPr>
            </w:pPr>
            <w:r>
              <w:rPr>
                <w:lang w:val="en-US"/>
              </w:rPr>
              <w:t>15:30</w:t>
            </w:r>
          </w:p>
        </w:tc>
        <w:tc>
          <w:tcPr>
            <w:tcW w:w="2552" w:type="dxa"/>
          </w:tcPr>
          <w:p w14:paraId="5CF7C9EB" w14:textId="77777777" w:rsidR="009D3FE1" w:rsidRDefault="009D3FE1" w:rsidP="009D3FE1">
            <w:pPr>
              <w:rPr>
                <w:lang w:val="en-US"/>
              </w:rPr>
            </w:pPr>
            <w:r>
              <w:rPr>
                <w:lang w:val="en-US"/>
              </w:rPr>
              <w:t xml:space="preserve">Afternoon break </w:t>
            </w:r>
          </w:p>
          <w:p w14:paraId="7ADA9D68" w14:textId="0E3AB8CF" w:rsidR="009D3FE1" w:rsidRDefault="009D3FE1" w:rsidP="009D3FE1">
            <w:pPr>
              <w:rPr>
                <w:lang w:val="en-US"/>
              </w:rPr>
            </w:pPr>
            <w:r>
              <w:rPr>
                <w:lang w:val="en-US"/>
              </w:rPr>
              <w:t>Optional – “Walk in the park”</w:t>
            </w:r>
          </w:p>
        </w:tc>
        <w:tc>
          <w:tcPr>
            <w:tcW w:w="2693" w:type="dxa"/>
          </w:tcPr>
          <w:p w14:paraId="1E3B5D71" w14:textId="77777777" w:rsidR="009D3FE1" w:rsidRDefault="009D3FE1" w:rsidP="009D3FE1">
            <w:pPr>
              <w:rPr>
                <w:lang w:val="en-US"/>
              </w:rPr>
            </w:pPr>
            <w:r>
              <w:rPr>
                <w:lang w:val="en-US"/>
              </w:rPr>
              <w:t xml:space="preserve">Afternoon break </w:t>
            </w:r>
          </w:p>
          <w:p w14:paraId="2FD5A0EF" w14:textId="667C75B7" w:rsidR="009D3FE1" w:rsidRDefault="009D3FE1" w:rsidP="009D3FE1">
            <w:pPr>
              <w:rPr>
                <w:lang w:val="en-US"/>
              </w:rPr>
            </w:pPr>
            <w:r>
              <w:rPr>
                <w:lang w:val="en-US"/>
              </w:rPr>
              <w:t>Optional – “Walk in the park”</w:t>
            </w:r>
          </w:p>
        </w:tc>
        <w:tc>
          <w:tcPr>
            <w:tcW w:w="2688" w:type="dxa"/>
          </w:tcPr>
          <w:p w14:paraId="19804D70" w14:textId="77777777" w:rsidR="009D3FE1" w:rsidRDefault="009D3FE1" w:rsidP="009D3FE1">
            <w:pPr>
              <w:rPr>
                <w:lang w:val="en-US"/>
              </w:rPr>
            </w:pPr>
            <w:r>
              <w:rPr>
                <w:lang w:val="en-US"/>
              </w:rPr>
              <w:t xml:space="preserve">Afternoon break </w:t>
            </w:r>
          </w:p>
          <w:p w14:paraId="318BB7EF" w14:textId="052BBA21" w:rsidR="009D3FE1" w:rsidRDefault="009D3FE1" w:rsidP="009D3FE1">
            <w:pPr>
              <w:rPr>
                <w:lang w:val="en-US"/>
              </w:rPr>
            </w:pPr>
          </w:p>
        </w:tc>
      </w:tr>
      <w:tr w:rsidR="009D3FE1" w14:paraId="27324C3C" w14:textId="77777777" w:rsidTr="009D3FE1">
        <w:tc>
          <w:tcPr>
            <w:tcW w:w="1129" w:type="dxa"/>
          </w:tcPr>
          <w:p w14:paraId="4748C5AF" w14:textId="3D8BA5C2" w:rsidR="009D3FE1" w:rsidRDefault="009D3FE1" w:rsidP="009D3FE1">
            <w:pPr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2552" w:type="dxa"/>
          </w:tcPr>
          <w:p w14:paraId="4DD4AE3A" w14:textId="75B87691" w:rsidR="009D3FE1" w:rsidRDefault="009D3FE1" w:rsidP="009D3FE1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732CD73C" w14:textId="3084E7AC" w:rsidR="009D3FE1" w:rsidRDefault="009D3FE1" w:rsidP="009D3FE1">
            <w:pPr>
              <w:rPr>
                <w:lang w:val="en-US"/>
              </w:rPr>
            </w:pPr>
          </w:p>
        </w:tc>
        <w:tc>
          <w:tcPr>
            <w:tcW w:w="2688" w:type="dxa"/>
          </w:tcPr>
          <w:p w14:paraId="4554C857" w14:textId="0ACF41D2" w:rsidR="009D3FE1" w:rsidRPr="009D3FE1" w:rsidRDefault="009D3FE1" w:rsidP="009D3FE1">
            <w:pPr>
              <w:jc w:val="center"/>
              <w:rPr>
                <w:lang w:val="en-US"/>
              </w:rPr>
            </w:pPr>
            <w:r w:rsidRPr="009D3FE1">
              <w:rPr>
                <w:lang w:val="en-US"/>
              </w:rPr>
              <w:t>Life after Thesis Boot Camp</w:t>
            </w:r>
          </w:p>
          <w:p w14:paraId="1A4A15C8" w14:textId="60968DEA" w:rsidR="009D3FE1" w:rsidRDefault="009D3FE1" w:rsidP="009D3FE1">
            <w:pPr>
              <w:jc w:val="center"/>
              <w:rPr>
                <w:lang w:val="en-US"/>
              </w:rPr>
            </w:pPr>
            <w:r w:rsidRPr="009D3FE1">
              <w:rPr>
                <w:lang w:val="en-US"/>
              </w:rPr>
              <w:t>Project planning &amp; maintaining momentum</w:t>
            </w:r>
          </w:p>
        </w:tc>
      </w:tr>
      <w:tr w:rsidR="009D3FE1" w14:paraId="06D31AF6" w14:textId="77777777" w:rsidTr="009D3FE1">
        <w:tc>
          <w:tcPr>
            <w:tcW w:w="1129" w:type="dxa"/>
          </w:tcPr>
          <w:p w14:paraId="46C75432" w14:textId="7B5ADFCE" w:rsidR="009D3FE1" w:rsidRDefault="009D3FE1" w:rsidP="009D3FE1">
            <w:pPr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2552" w:type="dxa"/>
          </w:tcPr>
          <w:p w14:paraId="67F5DA47" w14:textId="6848C94F" w:rsidR="009D3FE1" w:rsidRDefault="009D3FE1" w:rsidP="009D3FE1">
            <w:pPr>
              <w:rPr>
                <w:lang w:val="en-US"/>
              </w:rPr>
            </w:pPr>
            <w:r>
              <w:rPr>
                <w:lang w:val="en-US"/>
              </w:rPr>
              <w:t>Event close</w:t>
            </w:r>
          </w:p>
        </w:tc>
        <w:tc>
          <w:tcPr>
            <w:tcW w:w="2693" w:type="dxa"/>
          </w:tcPr>
          <w:p w14:paraId="5DC3C702" w14:textId="4B5FD60F" w:rsidR="009D3FE1" w:rsidRDefault="009D3FE1" w:rsidP="009D3FE1">
            <w:pPr>
              <w:rPr>
                <w:lang w:val="en-US"/>
              </w:rPr>
            </w:pPr>
            <w:r>
              <w:rPr>
                <w:lang w:val="en-US"/>
              </w:rPr>
              <w:t>Event close</w:t>
            </w:r>
          </w:p>
        </w:tc>
        <w:tc>
          <w:tcPr>
            <w:tcW w:w="2688" w:type="dxa"/>
          </w:tcPr>
          <w:p w14:paraId="3AB6832D" w14:textId="36A3C8AE" w:rsidR="009D3FE1" w:rsidRDefault="009D3FE1" w:rsidP="009D3FE1">
            <w:pPr>
              <w:rPr>
                <w:lang w:val="en-US"/>
              </w:rPr>
            </w:pPr>
            <w:r>
              <w:rPr>
                <w:lang w:val="en-US"/>
              </w:rPr>
              <w:t>Event close</w:t>
            </w:r>
          </w:p>
        </w:tc>
      </w:tr>
      <w:tr w:rsidR="009D3FE1" w14:paraId="276144EE" w14:textId="77777777" w:rsidTr="009D3FE1">
        <w:tc>
          <w:tcPr>
            <w:tcW w:w="1129" w:type="dxa"/>
          </w:tcPr>
          <w:p w14:paraId="1E6AE641" w14:textId="77DAA206" w:rsidR="009D3FE1" w:rsidRDefault="009D3FE1" w:rsidP="009D3FE1">
            <w:pPr>
              <w:rPr>
                <w:lang w:val="en-US"/>
              </w:rPr>
            </w:pPr>
            <w:r>
              <w:rPr>
                <w:lang w:val="en-US"/>
              </w:rPr>
              <w:t>18:30</w:t>
            </w:r>
          </w:p>
        </w:tc>
        <w:tc>
          <w:tcPr>
            <w:tcW w:w="2552" w:type="dxa"/>
          </w:tcPr>
          <w:p w14:paraId="06100144" w14:textId="27835352" w:rsidR="009D3FE1" w:rsidRDefault="009D3FE1" w:rsidP="009D3FE1">
            <w:pPr>
              <w:rPr>
                <w:lang w:val="en-US"/>
              </w:rPr>
            </w:pPr>
            <w:r>
              <w:rPr>
                <w:lang w:val="en-US"/>
              </w:rPr>
              <w:t xml:space="preserve">Dinner </w:t>
            </w:r>
          </w:p>
        </w:tc>
        <w:tc>
          <w:tcPr>
            <w:tcW w:w="2693" w:type="dxa"/>
          </w:tcPr>
          <w:p w14:paraId="2F0D4347" w14:textId="77777777" w:rsidR="009D3FE1" w:rsidRDefault="009D3FE1" w:rsidP="009D3FE1">
            <w:pPr>
              <w:rPr>
                <w:lang w:val="en-US"/>
              </w:rPr>
            </w:pPr>
          </w:p>
        </w:tc>
        <w:tc>
          <w:tcPr>
            <w:tcW w:w="2688" w:type="dxa"/>
          </w:tcPr>
          <w:p w14:paraId="2ADACFC3" w14:textId="77777777" w:rsidR="009D3FE1" w:rsidRDefault="009D3FE1" w:rsidP="009D3FE1">
            <w:pPr>
              <w:rPr>
                <w:lang w:val="en-US"/>
              </w:rPr>
            </w:pPr>
          </w:p>
        </w:tc>
      </w:tr>
    </w:tbl>
    <w:p w14:paraId="15178E72" w14:textId="77777777" w:rsidR="009D3FE1" w:rsidRDefault="009D3FE1" w:rsidP="00AD59C1">
      <w:pPr>
        <w:spacing w:line="240" w:lineRule="auto"/>
        <w:rPr>
          <w:lang w:val="en-US"/>
        </w:rPr>
      </w:pPr>
    </w:p>
    <w:p w14:paraId="497670B1" w14:textId="5261602B" w:rsidR="00A73E14" w:rsidRPr="00AD59C1" w:rsidRDefault="00AD59C1" w:rsidP="00AD59C1">
      <w:pPr>
        <w:spacing w:line="240" w:lineRule="auto"/>
        <w:rPr>
          <w:lang w:val="en-US"/>
        </w:rPr>
      </w:pPr>
      <w:r>
        <w:rPr>
          <w:lang w:val="en-US"/>
        </w:rPr>
        <w:t xml:space="preserve">Applicants must </w:t>
      </w:r>
      <w:r w:rsidR="00CB6AEA">
        <w:rPr>
          <w:lang w:val="en-US"/>
        </w:rPr>
        <w:t>register and send</w:t>
      </w:r>
      <w:r>
        <w:rPr>
          <w:lang w:val="en-US"/>
        </w:rPr>
        <w:t xml:space="preserve"> a</w:t>
      </w:r>
      <w:r w:rsidR="008770CF">
        <w:rPr>
          <w:lang w:val="en-US"/>
        </w:rPr>
        <w:t xml:space="preserve"> completed</w:t>
      </w:r>
      <w:r>
        <w:rPr>
          <w:lang w:val="en-US"/>
        </w:rPr>
        <w:t xml:space="preserve"> </w:t>
      </w:r>
      <w:r w:rsidR="00181BEC">
        <w:rPr>
          <w:lang w:val="en-US"/>
        </w:rPr>
        <w:t>application form</w:t>
      </w:r>
      <w:r>
        <w:rPr>
          <w:lang w:val="en-US"/>
        </w:rPr>
        <w:t xml:space="preserve"> </w:t>
      </w:r>
      <w:r w:rsidR="008770CF">
        <w:rPr>
          <w:lang w:val="en-US"/>
        </w:rPr>
        <w:t xml:space="preserve">to </w:t>
      </w:r>
      <w:hyperlink r:id="rId7" w:history="1">
        <w:r w:rsidR="00CB6AEA" w:rsidRPr="00271BE6">
          <w:rPr>
            <w:rStyle w:val="Hyperlink"/>
            <w:lang w:val="en-US"/>
          </w:rPr>
          <w:t>kimberly.skjelde@uib.no</w:t>
        </w:r>
      </w:hyperlink>
      <w:r w:rsidR="008770CF">
        <w:rPr>
          <w:lang w:val="en-US"/>
        </w:rPr>
        <w:t xml:space="preserve"> </w:t>
      </w:r>
      <w:r>
        <w:rPr>
          <w:lang w:val="en-US"/>
        </w:rPr>
        <w:t>by August 21</w:t>
      </w:r>
      <w:r w:rsidRPr="00AD59C1">
        <w:rPr>
          <w:vertAlign w:val="superscript"/>
          <w:lang w:val="en-US"/>
        </w:rPr>
        <w:t>st</w:t>
      </w:r>
      <w:r>
        <w:rPr>
          <w:lang w:val="en-US"/>
        </w:rPr>
        <w:t xml:space="preserve">. </w:t>
      </w:r>
    </w:p>
    <w:sectPr w:rsidR="00A73E14" w:rsidRPr="00AD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C1"/>
    <w:rsid w:val="00181BEC"/>
    <w:rsid w:val="005265CC"/>
    <w:rsid w:val="008770CF"/>
    <w:rsid w:val="00903647"/>
    <w:rsid w:val="009D3FE1"/>
    <w:rsid w:val="00A57EE9"/>
    <w:rsid w:val="00A73E14"/>
    <w:rsid w:val="00AB5637"/>
    <w:rsid w:val="00AD59C1"/>
    <w:rsid w:val="00AF266E"/>
    <w:rsid w:val="00CB6AEA"/>
    <w:rsid w:val="00E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13A1"/>
  <w15:chartTrackingRefBased/>
  <w15:docId w15:val="{650B7502-3076-4A25-BD6B-94C8D5D9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66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0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81B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imberly.skjelde@uib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BE907813C484DA8C34296B3BBB074" ma:contentTypeVersion="13" ma:contentTypeDescription="Create a new document." ma:contentTypeScope="" ma:versionID="64aad8a2e53cc66999531f18e8e95287">
  <xsd:schema xmlns:xsd="http://www.w3.org/2001/XMLSchema" xmlns:xs="http://www.w3.org/2001/XMLSchema" xmlns:p="http://schemas.microsoft.com/office/2006/metadata/properties" xmlns:ns3="95db212c-7159-469e-9a84-cfa45bbf87a6" xmlns:ns4="4339ffa5-64f1-474b-8089-0459ca48dfc0" targetNamespace="http://schemas.microsoft.com/office/2006/metadata/properties" ma:root="true" ma:fieldsID="eb432fe8ede02e2588af5518dd8a5a39" ns3:_="" ns4:_="">
    <xsd:import namespace="95db212c-7159-469e-9a84-cfa45bbf87a6"/>
    <xsd:import namespace="4339ffa5-64f1-474b-8089-0459ca48df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212c-7159-469e-9a84-cfa45bbf87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ffa5-64f1-474b-8089-0459ca48d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E37C4-297E-4E74-B106-70F96BE72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212c-7159-469e-9a84-cfa45bbf87a6"/>
    <ds:schemaRef ds:uri="4339ffa5-64f1-474b-8089-0459ca48d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6DD3F-957A-4466-B630-7104B3DC6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415B9-B355-4C85-B82E-8BE5184C0A74}">
  <ds:schemaRefs>
    <ds:schemaRef ds:uri="http://schemas.microsoft.com/office/2006/documentManagement/types"/>
    <ds:schemaRef ds:uri="95db212c-7159-469e-9a84-cfa45bbf87a6"/>
    <ds:schemaRef ds:uri="http://purl.org/dc/elements/1.1/"/>
    <ds:schemaRef ds:uri="http://schemas.microsoft.com/office/2006/metadata/properties"/>
    <ds:schemaRef ds:uri="http://schemas.microsoft.com/office/infopath/2007/PartnerControls"/>
    <ds:schemaRef ds:uri="4339ffa5-64f1-474b-8089-0459ca48dfc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Skjelde</dc:creator>
  <cp:keywords/>
  <dc:description/>
  <cp:lastModifiedBy>Kimberly Skjelde</cp:lastModifiedBy>
  <cp:revision>9</cp:revision>
  <dcterms:created xsi:type="dcterms:W3CDTF">2020-08-07T08:33:00Z</dcterms:created>
  <dcterms:modified xsi:type="dcterms:W3CDTF">2020-08-07T09:34:00Z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0x010100E3CBE907813C484DA8C34296B3BBB074</vt:lpwstr>
  </property>
</Properties>
</file>