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B2F8D" w14:textId="67855091" w:rsidR="0034483A" w:rsidRPr="00004ABE" w:rsidRDefault="0034483A" w:rsidP="00D42A60">
      <w:pPr>
        <w:jc w:val="center"/>
        <w:rPr>
          <w:rFonts w:ascii="Times New Roman" w:hAnsi="Times New Roman" w:cs="Times New Roman"/>
          <w:b/>
          <w:sz w:val="28"/>
          <w:szCs w:val="28"/>
        </w:rPr>
      </w:pPr>
      <w:r>
        <w:rPr>
          <w:rFonts w:ascii="Times New Roman" w:hAnsi="Times New Roman" w:cs="Times New Roman"/>
          <w:b/>
          <w:sz w:val="28"/>
          <w:szCs w:val="28"/>
        </w:rPr>
        <w:t>Acquisition and processing of grammatical gender</w:t>
      </w:r>
    </w:p>
    <w:p w14:paraId="6C9BE4C6" w14:textId="2A07ECB3" w:rsidR="0034483A" w:rsidRPr="00345D3F" w:rsidRDefault="0034483A" w:rsidP="0034483A">
      <w:pPr>
        <w:jc w:val="center"/>
        <w:rPr>
          <w:rFonts w:ascii="Times New Roman" w:hAnsi="Times New Roman" w:cs="Times New Roman"/>
        </w:rPr>
      </w:pPr>
      <w:r>
        <w:rPr>
          <w:rFonts w:ascii="Times New Roman" w:hAnsi="Times New Roman" w:cs="Times New Roman"/>
        </w:rPr>
        <w:t xml:space="preserve">February 26-28 2019, </w:t>
      </w:r>
      <w:proofErr w:type="spellStart"/>
      <w:r>
        <w:rPr>
          <w:rFonts w:ascii="Times New Roman" w:hAnsi="Times New Roman" w:cs="Times New Roman"/>
        </w:rPr>
        <w:t>UiT</w:t>
      </w:r>
      <w:proofErr w:type="spellEnd"/>
      <w:r>
        <w:rPr>
          <w:rFonts w:ascii="Times New Roman" w:hAnsi="Times New Roman" w:cs="Times New Roman"/>
        </w:rPr>
        <w:t xml:space="preserve"> </w:t>
      </w:r>
      <w:proofErr w:type="spellStart"/>
      <w:r>
        <w:rPr>
          <w:rFonts w:ascii="Times New Roman" w:hAnsi="Times New Roman" w:cs="Times New Roman"/>
        </w:rPr>
        <w:t>Tromsø</w:t>
      </w:r>
      <w:proofErr w:type="spellEnd"/>
    </w:p>
    <w:p w14:paraId="33A474BE" w14:textId="77777777" w:rsidR="0034483A" w:rsidRPr="00345D3F" w:rsidRDefault="0034483A" w:rsidP="0034483A">
      <w:pPr>
        <w:rPr>
          <w:rFonts w:ascii="Times New Roman" w:hAnsi="Times New Roman" w:cs="Times New Roman"/>
        </w:rPr>
      </w:pPr>
    </w:p>
    <w:p w14:paraId="471F7DC1" w14:textId="77777777" w:rsidR="0034483A" w:rsidRPr="00737CE6" w:rsidRDefault="0034483A" w:rsidP="0034483A">
      <w:pPr>
        <w:rPr>
          <w:rFonts w:cs="Times New Roman"/>
          <w:b/>
          <w:sz w:val="22"/>
          <w:szCs w:val="22"/>
        </w:rPr>
      </w:pPr>
      <w:r w:rsidRPr="00737CE6">
        <w:rPr>
          <w:rFonts w:cs="Times New Roman"/>
          <w:b/>
          <w:sz w:val="22"/>
          <w:szCs w:val="22"/>
        </w:rPr>
        <w:t>Instructors</w:t>
      </w:r>
    </w:p>
    <w:p w14:paraId="523B0892" w14:textId="46FD0239" w:rsidR="0034483A" w:rsidRPr="00737CE6" w:rsidRDefault="0034483A" w:rsidP="0034483A">
      <w:pPr>
        <w:rPr>
          <w:rFonts w:cs="Times New Roman"/>
          <w:sz w:val="22"/>
          <w:szCs w:val="22"/>
        </w:rPr>
      </w:pPr>
      <w:r w:rsidRPr="00737CE6">
        <w:rPr>
          <w:rFonts w:cs="Times New Roman"/>
          <w:sz w:val="22"/>
          <w:szCs w:val="22"/>
        </w:rPr>
        <w:t xml:space="preserve">Professor Holger </w:t>
      </w:r>
      <w:proofErr w:type="spellStart"/>
      <w:r w:rsidRPr="00737CE6">
        <w:rPr>
          <w:rFonts w:cs="Times New Roman"/>
          <w:sz w:val="22"/>
          <w:szCs w:val="22"/>
        </w:rPr>
        <w:t>Hopp</w:t>
      </w:r>
      <w:proofErr w:type="spellEnd"/>
      <w:r w:rsidRPr="00737CE6">
        <w:rPr>
          <w:rFonts w:cs="Times New Roman"/>
          <w:sz w:val="22"/>
          <w:szCs w:val="22"/>
        </w:rPr>
        <w:t xml:space="preserve">, University of </w:t>
      </w:r>
      <w:proofErr w:type="spellStart"/>
      <w:r w:rsidRPr="00737CE6">
        <w:rPr>
          <w:rFonts w:cs="Times New Roman"/>
          <w:sz w:val="22"/>
          <w:szCs w:val="22"/>
        </w:rPr>
        <w:t>Braunschweig</w:t>
      </w:r>
      <w:proofErr w:type="spellEnd"/>
    </w:p>
    <w:p w14:paraId="48718B62" w14:textId="3902E42A" w:rsidR="0034483A" w:rsidRPr="00737CE6" w:rsidRDefault="0034483A" w:rsidP="0034483A">
      <w:pPr>
        <w:rPr>
          <w:rFonts w:cs="Times New Roman"/>
          <w:sz w:val="22"/>
          <w:szCs w:val="22"/>
          <w:lang w:val="de-DE"/>
        </w:rPr>
      </w:pPr>
      <w:r w:rsidRPr="00737CE6">
        <w:rPr>
          <w:rFonts w:cs="Times New Roman"/>
          <w:sz w:val="22"/>
          <w:szCs w:val="22"/>
          <w:lang w:val="de-DE"/>
        </w:rPr>
        <w:t>Professor Natascha Müller, University of Wuppertal</w:t>
      </w:r>
    </w:p>
    <w:p w14:paraId="1BCD9612" w14:textId="5B437015" w:rsidR="0034483A" w:rsidRPr="00737CE6" w:rsidRDefault="0034483A" w:rsidP="0034483A">
      <w:pPr>
        <w:rPr>
          <w:rFonts w:cs="Times New Roman"/>
          <w:sz w:val="22"/>
          <w:szCs w:val="22"/>
        </w:rPr>
      </w:pPr>
      <w:r w:rsidRPr="00737CE6">
        <w:rPr>
          <w:rFonts w:cs="Times New Roman"/>
          <w:sz w:val="22"/>
          <w:szCs w:val="22"/>
        </w:rPr>
        <w:t xml:space="preserve">Associate Professor Sharon </w:t>
      </w:r>
      <w:proofErr w:type="spellStart"/>
      <w:r w:rsidRPr="00737CE6">
        <w:rPr>
          <w:rFonts w:cs="Times New Roman"/>
          <w:sz w:val="22"/>
          <w:szCs w:val="22"/>
        </w:rPr>
        <w:t>Unsworth</w:t>
      </w:r>
      <w:proofErr w:type="spellEnd"/>
      <w:r w:rsidRPr="00737CE6">
        <w:rPr>
          <w:rFonts w:cs="Times New Roman"/>
          <w:sz w:val="22"/>
          <w:szCs w:val="22"/>
        </w:rPr>
        <w:t xml:space="preserve">, </w:t>
      </w:r>
      <w:proofErr w:type="spellStart"/>
      <w:r w:rsidRPr="00737CE6">
        <w:rPr>
          <w:rFonts w:cs="Times New Roman"/>
          <w:sz w:val="22"/>
          <w:szCs w:val="22"/>
        </w:rPr>
        <w:t>Radboud</w:t>
      </w:r>
      <w:proofErr w:type="spellEnd"/>
      <w:r w:rsidRPr="00737CE6">
        <w:rPr>
          <w:rFonts w:cs="Times New Roman"/>
          <w:sz w:val="22"/>
          <w:szCs w:val="22"/>
        </w:rPr>
        <w:t xml:space="preserve"> University</w:t>
      </w:r>
    </w:p>
    <w:p w14:paraId="3DC4AA12" w14:textId="77777777" w:rsidR="0034483A" w:rsidRPr="00737CE6" w:rsidRDefault="0034483A" w:rsidP="0034483A">
      <w:pPr>
        <w:rPr>
          <w:rFonts w:cs="Times New Roman"/>
          <w:sz w:val="22"/>
          <w:szCs w:val="22"/>
        </w:rPr>
      </w:pPr>
    </w:p>
    <w:p w14:paraId="3CBD56FF" w14:textId="77777777" w:rsidR="0034483A" w:rsidRPr="00737CE6" w:rsidRDefault="0034483A" w:rsidP="0034483A">
      <w:pPr>
        <w:rPr>
          <w:rFonts w:cs="Times New Roman"/>
          <w:b/>
          <w:sz w:val="22"/>
          <w:szCs w:val="22"/>
        </w:rPr>
      </w:pPr>
      <w:r w:rsidRPr="00737CE6">
        <w:rPr>
          <w:rFonts w:cs="Times New Roman"/>
          <w:b/>
          <w:sz w:val="22"/>
          <w:szCs w:val="22"/>
        </w:rPr>
        <w:t>Organizers</w:t>
      </w:r>
    </w:p>
    <w:p w14:paraId="46BF420A" w14:textId="77777777" w:rsidR="0034483A" w:rsidRPr="00737CE6" w:rsidRDefault="0034483A" w:rsidP="0034483A">
      <w:pPr>
        <w:rPr>
          <w:rFonts w:cs="Times New Roman"/>
          <w:sz w:val="22"/>
          <w:szCs w:val="22"/>
        </w:rPr>
      </w:pPr>
      <w:r w:rsidRPr="00737CE6">
        <w:rPr>
          <w:rFonts w:cs="Times New Roman"/>
          <w:sz w:val="22"/>
          <w:szCs w:val="22"/>
        </w:rPr>
        <w:t xml:space="preserve">Professor Terje Lohndal, NTNU &amp; </w:t>
      </w:r>
      <w:proofErr w:type="spellStart"/>
      <w:r w:rsidRPr="00737CE6">
        <w:rPr>
          <w:rFonts w:cs="Times New Roman"/>
          <w:sz w:val="22"/>
          <w:szCs w:val="22"/>
        </w:rPr>
        <w:t>UiT</w:t>
      </w:r>
      <w:proofErr w:type="spellEnd"/>
      <w:r w:rsidRPr="00737CE6">
        <w:rPr>
          <w:rFonts w:cs="Times New Roman"/>
          <w:sz w:val="22"/>
          <w:szCs w:val="22"/>
        </w:rPr>
        <w:t xml:space="preserve"> </w:t>
      </w:r>
      <w:proofErr w:type="gramStart"/>
      <w:r w:rsidRPr="00737CE6">
        <w:rPr>
          <w:rFonts w:cs="Times New Roman"/>
          <w:sz w:val="22"/>
          <w:szCs w:val="22"/>
        </w:rPr>
        <w:t>The</w:t>
      </w:r>
      <w:proofErr w:type="gramEnd"/>
      <w:r w:rsidRPr="00737CE6">
        <w:rPr>
          <w:rFonts w:cs="Times New Roman"/>
          <w:sz w:val="22"/>
          <w:szCs w:val="22"/>
        </w:rPr>
        <w:t xml:space="preserve"> Arctic University of Norway</w:t>
      </w:r>
    </w:p>
    <w:p w14:paraId="32554576" w14:textId="77777777" w:rsidR="0034483A" w:rsidRPr="00737CE6" w:rsidRDefault="0034483A" w:rsidP="0034483A">
      <w:pPr>
        <w:rPr>
          <w:rFonts w:cs="Times New Roman"/>
          <w:sz w:val="22"/>
          <w:szCs w:val="22"/>
        </w:rPr>
      </w:pPr>
      <w:r w:rsidRPr="00737CE6">
        <w:rPr>
          <w:rFonts w:cs="Times New Roman"/>
          <w:sz w:val="22"/>
          <w:szCs w:val="22"/>
        </w:rPr>
        <w:t xml:space="preserve">Professor Marit </w:t>
      </w:r>
      <w:proofErr w:type="spellStart"/>
      <w:r w:rsidRPr="00737CE6">
        <w:rPr>
          <w:rFonts w:cs="Times New Roman"/>
          <w:sz w:val="22"/>
          <w:szCs w:val="22"/>
        </w:rPr>
        <w:t>Westergaard</w:t>
      </w:r>
      <w:proofErr w:type="spellEnd"/>
      <w:r w:rsidRPr="00737CE6">
        <w:rPr>
          <w:rFonts w:cs="Times New Roman"/>
          <w:sz w:val="22"/>
          <w:szCs w:val="22"/>
        </w:rPr>
        <w:t xml:space="preserve">, </w:t>
      </w:r>
      <w:proofErr w:type="spellStart"/>
      <w:r w:rsidRPr="00737CE6">
        <w:rPr>
          <w:rFonts w:cs="Times New Roman"/>
          <w:sz w:val="22"/>
          <w:szCs w:val="22"/>
        </w:rPr>
        <w:t>UiT</w:t>
      </w:r>
      <w:proofErr w:type="spellEnd"/>
      <w:r w:rsidRPr="00737CE6">
        <w:rPr>
          <w:rFonts w:cs="Times New Roman"/>
          <w:sz w:val="22"/>
          <w:szCs w:val="22"/>
        </w:rPr>
        <w:t xml:space="preserve"> </w:t>
      </w:r>
      <w:proofErr w:type="gramStart"/>
      <w:r w:rsidRPr="00737CE6">
        <w:rPr>
          <w:rFonts w:cs="Times New Roman"/>
          <w:sz w:val="22"/>
          <w:szCs w:val="22"/>
        </w:rPr>
        <w:t>The</w:t>
      </w:r>
      <w:proofErr w:type="gramEnd"/>
      <w:r w:rsidRPr="00737CE6">
        <w:rPr>
          <w:rFonts w:cs="Times New Roman"/>
          <w:sz w:val="22"/>
          <w:szCs w:val="22"/>
        </w:rPr>
        <w:t xml:space="preserve"> Arctic University of Norway &amp; NTNU</w:t>
      </w:r>
    </w:p>
    <w:p w14:paraId="0C5692D1" w14:textId="77777777" w:rsidR="0034483A" w:rsidRPr="00737CE6" w:rsidRDefault="0034483A" w:rsidP="0034483A">
      <w:pPr>
        <w:rPr>
          <w:rFonts w:cs="Times New Roman"/>
          <w:sz w:val="22"/>
          <w:szCs w:val="22"/>
        </w:rPr>
      </w:pPr>
    </w:p>
    <w:p w14:paraId="704B1252" w14:textId="77777777" w:rsidR="0034483A" w:rsidRPr="00737CE6" w:rsidRDefault="0034483A" w:rsidP="0034483A">
      <w:pPr>
        <w:rPr>
          <w:rFonts w:cs="Times New Roman"/>
          <w:b/>
          <w:sz w:val="22"/>
          <w:szCs w:val="22"/>
        </w:rPr>
      </w:pPr>
      <w:r w:rsidRPr="00737CE6">
        <w:rPr>
          <w:rFonts w:cs="Times New Roman"/>
          <w:b/>
          <w:sz w:val="22"/>
          <w:szCs w:val="22"/>
        </w:rPr>
        <w:t>Description</w:t>
      </w:r>
    </w:p>
    <w:p w14:paraId="523A2FF4" w14:textId="77777777" w:rsidR="000A5E2B" w:rsidRPr="00737CE6" w:rsidRDefault="000A5E2B" w:rsidP="000A5E2B">
      <w:pPr>
        <w:rPr>
          <w:rFonts w:cs="Times New Roman"/>
          <w:sz w:val="22"/>
          <w:szCs w:val="22"/>
        </w:rPr>
      </w:pPr>
      <w:r w:rsidRPr="00737CE6">
        <w:rPr>
          <w:rFonts w:cs="Times New Roman"/>
          <w:sz w:val="22"/>
          <w:szCs w:val="22"/>
        </w:rPr>
        <w:t>Since the pioneering work of Karmiloff-Smith (1979), formal criteria have been shown to play a dominant role in grammatical gender assignment in early child data. Young children have been found to make errors revealing that morphophonology often wins over semantics in cases where these factors make conflicting predictions. Addressing the acquisition of gender from a bilingual perspective, the quantity and quality of input has also been extensively discussed, in addition to questions of language dominance and age of onset. Various patterns of overgeneralization are also found in a range of different language pairs. In addition to discussing these topics, the course will also consider the processing of grammatical gender in both monolinguals and bilinguals, with an additional focus on asymmetries that may occur between processing and production.</w:t>
      </w:r>
    </w:p>
    <w:p w14:paraId="1D4E93F6" w14:textId="77777777" w:rsidR="000A5E2B" w:rsidRPr="00737CE6" w:rsidRDefault="000A5E2B" w:rsidP="000A5E2B">
      <w:pPr>
        <w:rPr>
          <w:rFonts w:cs="Times New Roman"/>
          <w:sz w:val="22"/>
          <w:szCs w:val="22"/>
        </w:rPr>
      </w:pPr>
    </w:p>
    <w:p w14:paraId="6A8F028E" w14:textId="77777777" w:rsidR="000A5E2B" w:rsidRPr="00737CE6" w:rsidRDefault="000A5E2B" w:rsidP="000A5E2B">
      <w:pPr>
        <w:rPr>
          <w:rFonts w:cs="Times New Roman"/>
          <w:sz w:val="22"/>
          <w:szCs w:val="22"/>
        </w:rPr>
      </w:pPr>
      <w:r w:rsidRPr="00737CE6">
        <w:rPr>
          <w:rFonts w:cs="Times New Roman"/>
          <w:sz w:val="22"/>
          <w:szCs w:val="22"/>
        </w:rPr>
        <w:t>The following issues will be discussed:</w:t>
      </w:r>
      <w:bookmarkStart w:id="0" w:name="_GoBack"/>
      <w:bookmarkEnd w:id="0"/>
    </w:p>
    <w:p w14:paraId="0B61F8A7" w14:textId="77777777" w:rsidR="000A5E2B" w:rsidRPr="00737CE6" w:rsidRDefault="000A5E2B" w:rsidP="000A5E2B">
      <w:pPr>
        <w:pStyle w:val="Listeavsnitt"/>
        <w:numPr>
          <w:ilvl w:val="0"/>
          <w:numId w:val="2"/>
        </w:numPr>
        <w:rPr>
          <w:rFonts w:cs="Times New Roman"/>
          <w:sz w:val="22"/>
          <w:szCs w:val="22"/>
        </w:rPr>
      </w:pPr>
      <w:r w:rsidRPr="00737CE6">
        <w:rPr>
          <w:rFonts w:cs="Times New Roman"/>
          <w:sz w:val="22"/>
          <w:szCs w:val="22"/>
        </w:rPr>
        <w:t>Grammatical gender assignment in acquisition across several languages</w:t>
      </w:r>
    </w:p>
    <w:p w14:paraId="488CC3D5" w14:textId="77777777" w:rsidR="000A5E2B" w:rsidRPr="00737CE6" w:rsidRDefault="000A5E2B" w:rsidP="000A5E2B">
      <w:pPr>
        <w:pStyle w:val="Listeavsnitt"/>
        <w:numPr>
          <w:ilvl w:val="0"/>
          <w:numId w:val="2"/>
        </w:numPr>
        <w:rPr>
          <w:rFonts w:cs="Times New Roman"/>
          <w:sz w:val="22"/>
          <w:szCs w:val="22"/>
        </w:rPr>
      </w:pPr>
      <w:proofErr w:type="spellStart"/>
      <w:r w:rsidRPr="00737CE6">
        <w:rPr>
          <w:rFonts w:cs="Times New Roman"/>
          <w:sz w:val="22"/>
          <w:szCs w:val="22"/>
        </w:rPr>
        <w:t>Morphophonological</w:t>
      </w:r>
      <w:proofErr w:type="spellEnd"/>
      <w:r w:rsidRPr="00737CE6">
        <w:rPr>
          <w:rFonts w:cs="Times New Roman"/>
          <w:sz w:val="22"/>
          <w:szCs w:val="22"/>
        </w:rPr>
        <w:t xml:space="preserve"> vs. semantic cues</w:t>
      </w:r>
    </w:p>
    <w:p w14:paraId="5B419FD0" w14:textId="77777777" w:rsidR="000A5E2B" w:rsidRPr="00737CE6" w:rsidRDefault="000A5E2B" w:rsidP="000A5E2B">
      <w:pPr>
        <w:pStyle w:val="Listeavsnitt"/>
        <w:numPr>
          <w:ilvl w:val="0"/>
          <w:numId w:val="2"/>
        </w:numPr>
        <w:rPr>
          <w:rFonts w:cs="Times New Roman"/>
          <w:sz w:val="22"/>
          <w:szCs w:val="22"/>
        </w:rPr>
      </w:pPr>
      <w:r w:rsidRPr="00737CE6">
        <w:rPr>
          <w:rFonts w:cs="Times New Roman"/>
          <w:sz w:val="22"/>
          <w:szCs w:val="22"/>
        </w:rPr>
        <w:t>Acquisition of grammatical gender in monolinguals and bilinguals</w:t>
      </w:r>
    </w:p>
    <w:p w14:paraId="7F9CDBCE" w14:textId="77777777" w:rsidR="000A5E2B" w:rsidRPr="00737CE6" w:rsidRDefault="000A5E2B" w:rsidP="000A5E2B">
      <w:pPr>
        <w:pStyle w:val="Listeavsnitt"/>
        <w:numPr>
          <w:ilvl w:val="0"/>
          <w:numId w:val="2"/>
        </w:numPr>
        <w:rPr>
          <w:rFonts w:cs="Times New Roman"/>
          <w:sz w:val="22"/>
          <w:szCs w:val="22"/>
        </w:rPr>
      </w:pPr>
      <w:r w:rsidRPr="00737CE6">
        <w:rPr>
          <w:rFonts w:cs="Times New Roman"/>
          <w:sz w:val="22"/>
          <w:szCs w:val="22"/>
        </w:rPr>
        <w:t>The status of non-target forms and what they tell us about the development of the grammatical gender system</w:t>
      </w:r>
    </w:p>
    <w:p w14:paraId="3FA96798" w14:textId="77777777" w:rsidR="000A5E2B" w:rsidRPr="00737CE6" w:rsidRDefault="000A5E2B" w:rsidP="000A5E2B">
      <w:pPr>
        <w:pStyle w:val="Listeavsnitt"/>
        <w:numPr>
          <w:ilvl w:val="0"/>
          <w:numId w:val="2"/>
        </w:numPr>
        <w:rPr>
          <w:rFonts w:cs="Times New Roman"/>
          <w:sz w:val="22"/>
          <w:szCs w:val="22"/>
        </w:rPr>
      </w:pPr>
      <w:r w:rsidRPr="00737CE6">
        <w:rPr>
          <w:rFonts w:cs="Times New Roman"/>
          <w:sz w:val="22"/>
          <w:szCs w:val="22"/>
        </w:rPr>
        <w:t>Processing of grammatical gender in first and second language and potential asymmetries between processing and production</w:t>
      </w:r>
    </w:p>
    <w:p w14:paraId="2422D4C4" w14:textId="77777777" w:rsidR="0034483A" w:rsidRPr="00737CE6" w:rsidRDefault="0034483A" w:rsidP="0034483A">
      <w:pPr>
        <w:rPr>
          <w:rFonts w:cs="Times New Roman"/>
          <w:sz w:val="22"/>
          <w:szCs w:val="22"/>
        </w:rPr>
      </w:pPr>
    </w:p>
    <w:p w14:paraId="67491E78" w14:textId="25E4DB74" w:rsidR="0034483A" w:rsidRPr="00737CE6" w:rsidRDefault="0034483A" w:rsidP="0034483A">
      <w:pPr>
        <w:rPr>
          <w:rFonts w:cs="Times New Roman"/>
          <w:sz w:val="22"/>
          <w:szCs w:val="22"/>
        </w:rPr>
      </w:pPr>
      <w:r w:rsidRPr="00737CE6">
        <w:rPr>
          <w:rFonts w:cs="Times New Roman"/>
          <w:sz w:val="22"/>
          <w:szCs w:val="22"/>
        </w:rPr>
        <w:t xml:space="preserve">The course will consist of 6 lectures from Tuesday to Thursday. Each day will have two lectures, </w:t>
      </w:r>
      <w:r w:rsidR="0096161A" w:rsidRPr="00737CE6">
        <w:rPr>
          <w:rFonts w:cs="Times New Roman"/>
          <w:sz w:val="22"/>
          <w:szCs w:val="22"/>
        </w:rPr>
        <w:t>one in the morning and one in the afternoon.</w:t>
      </w:r>
    </w:p>
    <w:p w14:paraId="7B22D56E" w14:textId="77777777" w:rsidR="0034483A" w:rsidRPr="00737CE6" w:rsidRDefault="0034483A" w:rsidP="0034483A">
      <w:pPr>
        <w:rPr>
          <w:rFonts w:cs="Times New Roman"/>
          <w:sz w:val="22"/>
          <w:szCs w:val="22"/>
        </w:rPr>
      </w:pPr>
    </w:p>
    <w:p w14:paraId="0262D620" w14:textId="77777777" w:rsidR="0034483A" w:rsidRPr="00737CE6" w:rsidRDefault="0034483A" w:rsidP="0034483A">
      <w:pPr>
        <w:rPr>
          <w:rFonts w:cs="Times New Roman"/>
          <w:sz w:val="22"/>
          <w:szCs w:val="22"/>
        </w:rPr>
      </w:pPr>
      <w:r w:rsidRPr="00737CE6">
        <w:rPr>
          <w:rFonts w:cs="Times New Roman"/>
          <w:sz w:val="22"/>
          <w:szCs w:val="22"/>
        </w:rPr>
        <w:t xml:space="preserve">The course will also be open for MA students even though they </w:t>
      </w:r>
      <w:proofErr w:type="spellStart"/>
      <w:r w:rsidRPr="00737CE6">
        <w:rPr>
          <w:rFonts w:cs="Times New Roman"/>
          <w:sz w:val="22"/>
          <w:szCs w:val="22"/>
        </w:rPr>
        <w:t>can not</w:t>
      </w:r>
      <w:proofErr w:type="spellEnd"/>
      <w:r w:rsidRPr="00737CE6">
        <w:rPr>
          <w:rFonts w:cs="Times New Roman"/>
          <w:sz w:val="22"/>
          <w:szCs w:val="22"/>
        </w:rPr>
        <w:t xml:space="preserve"> take it for credit.</w:t>
      </w:r>
    </w:p>
    <w:p w14:paraId="24BD322A" w14:textId="77777777" w:rsidR="0034483A" w:rsidRPr="00737CE6" w:rsidRDefault="0034483A" w:rsidP="0034483A">
      <w:pPr>
        <w:rPr>
          <w:rFonts w:cs="Times New Roman"/>
          <w:sz w:val="22"/>
          <w:szCs w:val="22"/>
        </w:rPr>
      </w:pPr>
    </w:p>
    <w:p w14:paraId="093A3301" w14:textId="77777777" w:rsidR="0034483A" w:rsidRPr="00737CE6" w:rsidRDefault="0034483A" w:rsidP="0034483A">
      <w:pPr>
        <w:rPr>
          <w:rFonts w:cs="Times New Roman"/>
          <w:b/>
          <w:sz w:val="22"/>
          <w:szCs w:val="22"/>
        </w:rPr>
      </w:pPr>
      <w:r w:rsidRPr="00737CE6">
        <w:rPr>
          <w:rFonts w:cs="Times New Roman"/>
          <w:b/>
          <w:sz w:val="22"/>
          <w:szCs w:val="22"/>
        </w:rPr>
        <w:t>Requirements for 5ECTS</w:t>
      </w:r>
    </w:p>
    <w:p w14:paraId="18C36B42" w14:textId="77777777" w:rsidR="0034483A" w:rsidRPr="00737CE6" w:rsidRDefault="0034483A" w:rsidP="0034483A">
      <w:pPr>
        <w:pStyle w:val="Listeavsnitt"/>
        <w:numPr>
          <w:ilvl w:val="0"/>
          <w:numId w:val="1"/>
        </w:numPr>
        <w:rPr>
          <w:rFonts w:cs="Times New Roman"/>
          <w:sz w:val="22"/>
          <w:szCs w:val="22"/>
        </w:rPr>
      </w:pPr>
      <w:r w:rsidRPr="00737CE6">
        <w:rPr>
          <w:rFonts w:cs="Times New Roman"/>
          <w:sz w:val="22"/>
          <w:szCs w:val="22"/>
        </w:rPr>
        <w:t>Do readings before and during the course as assigned by the instructors.</w:t>
      </w:r>
    </w:p>
    <w:p w14:paraId="1BF677CE" w14:textId="77777777" w:rsidR="0034483A" w:rsidRPr="00737CE6" w:rsidRDefault="0034483A" w:rsidP="0034483A">
      <w:pPr>
        <w:pStyle w:val="Listeavsnitt"/>
        <w:numPr>
          <w:ilvl w:val="0"/>
          <w:numId w:val="1"/>
        </w:numPr>
        <w:rPr>
          <w:rFonts w:cs="Times New Roman"/>
          <w:sz w:val="22"/>
          <w:szCs w:val="22"/>
        </w:rPr>
      </w:pPr>
      <w:r w:rsidRPr="00737CE6">
        <w:rPr>
          <w:rFonts w:cs="Times New Roman"/>
          <w:sz w:val="22"/>
          <w:szCs w:val="22"/>
        </w:rPr>
        <w:t>Attend all lectures</w:t>
      </w:r>
    </w:p>
    <w:p w14:paraId="595ECF7C" w14:textId="77777777" w:rsidR="0034483A" w:rsidRPr="00737CE6" w:rsidRDefault="0034483A" w:rsidP="0034483A">
      <w:pPr>
        <w:pStyle w:val="Listeavsnitt"/>
        <w:numPr>
          <w:ilvl w:val="0"/>
          <w:numId w:val="1"/>
        </w:numPr>
        <w:rPr>
          <w:rFonts w:cs="Times New Roman"/>
          <w:sz w:val="22"/>
          <w:szCs w:val="22"/>
        </w:rPr>
      </w:pPr>
      <w:r w:rsidRPr="00737CE6">
        <w:rPr>
          <w:rFonts w:cs="Times New Roman"/>
          <w:sz w:val="22"/>
          <w:szCs w:val="22"/>
        </w:rPr>
        <w:t>Submit one research question in writing to the instructor after each lecture.</w:t>
      </w:r>
    </w:p>
    <w:p w14:paraId="254AA3FC" w14:textId="51A753D6" w:rsidR="0034483A" w:rsidRPr="00737CE6" w:rsidRDefault="0034483A" w:rsidP="0034483A">
      <w:pPr>
        <w:pStyle w:val="Listeavsnitt"/>
        <w:numPr>
          <w:ilvl w:val="0"/>
          <w:numId w:val="1"/>
        </w:numPr>
        <w:rPr>
          <w:rFonts w:cs="Times New Roman"/>
          <w:sz w:val="22"/>
          <w:szCs w:val="22"/>
        </w:rPr>
      </w:pPr>
      <w:r w:rsidRPr="00737CE6">
        <w:rPr>
          <w:rFonts w:cs="Times New Roman"/>
          <w:sz w:val="22"/>
          <w:szCs w:val="22"/>
        </w:rPr>
        <w:t xml:space="preserve">Write a 2000-word </w:t>
      </w:r>
      <w:r w:rsidR="00545020" w:rsidRPr="00737CE6">
        <w:rPr>
          <w:rFonts w:cs="Times New Roman"/>
          <w:sz w:val="22"/>
          <w:szCs w:val="22"/>
        </w:rPr>
        <w:t xml:space="preserve">paper </w:t>
      </w:r>
      <w:r w:rsidRPr="00737CE6">
        <w:rPr>
          <w:rFonts w:cs="Times New Roman"/>
          <w:sz w:val="22"/>
          <w:szCs w:val="22"/>
        </w:rPr>
        <w:t xml:space="preserve">on </w:t>
      </w:r>
      <w:r w:rsidR="00BB7E9E" w:rsidRPr="00737CE6">
        <w:rPr>
          <w:rFonts w:cs="Times New Roman"/>
          <w:sz w:val="22"/>
          <w:szCs w:val="22"/>
        </w:rPr>
        <w:t>a chosen</w:t>
      </w:r>
      <w:r w:rsidRPr="00737CE6">
        <w:rPr>
          <w:rFonts w:cs="Times New Roman"/>
          <w:sz w:val="22"/>
          <w:szCs w:val="22"/>
        </w:rPr>
        <w:t xml:space="preserve"> topic following the course</w:t>
      </w:r>
    </w:p>
    <w:sectPr w:rsidR="0034483A" w:rsidRPr="00737CE6" w:rsidSect="004568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DD0"/>
    <w:multiLevelType w:val="hybridMultilevel"/>
    <w:tmpl w:val="35B6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5FAD"/>
    <w:multiLevelType w:val="hybridMultilevel"/>
    <w:tmpl w:val="5E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AC"/>
    <w:rsid w:val="00004ABE"/>
    <w:rsid w:val="00037D12"/>
    <w:rsid w:val="00044C05"/>
    <w:rsid w:val="00086F55"/>
    <w:rsid w:val="000A4039"/>
    <w:rsid w:val="000A5E2B"/>
    <w:rsid w:val="000B36CD"/>
    <w:rsid w:val="000D1AA8"/>
    <w:rsid w:val="000E65A1"/>
    <w:rsid w:val="001318F3"/>
    <w:rsid w:val="00134501"/>
    <w:rsid w:val="001B4ADF"/>
    <w:rsid w:val="0020418F"/>
    <w:rsid w:val="00211FC6"/>
    <w:rsid w:val="002135D6"/>
    <w:rsid w:val="002406C8"/>
    <w:rsid w:val="002422DA"/>
    <w:rsid w:val="002E59C6"/>
    <w:rsid w:val="0032080A"/>
    <w:rsid w:val="00332DA8"/>
    <w:rsid w:val="0034483A"/>
    <w:rsid w:val="00345D3F"/>
    <w:rsid w:val="003535D8"/>
    <w:rsid w:val="003A66E4"/>
    <w:rsid w:val="00401ECC"/>
    <w:rsid w:val="00456861"/>
    <w:rsid w:val="005446C3"/>
    <w:rsid w:val="00545020"/>
    <w:rsid w:val="00572BC8"/>
    <w:rsid w:val="0058476F"/>
    <w:rsid w:val="00650EF4"/>
    <w:rsid w:val="006A2FFB"/>
    <w:rsid w:val="006E4D36"/>
    <w:rsid w:val="006F2DCE"/>
    <w:rsid w:val="006F6273"/>
    <w:rsid w:val="0071654E"/>
    <w:rsid w:val="00737CE6"/>
    <w:rsid w:val="007A143F"/>
    <w:rsid w:val="007A5797"/>
    <w:rsid w:val="007B03AC"/>
    <w:rsid w:val="007E1886"/>
    <w:rsid w:val="007F1B3D"/>
    <w:rsid w:val="008C508E"/>
    <w:rsid w:val="00907642"/>
    <w:rsid w:val="00932D80"/>
    <w:rsid w:val="00943317"/>
    <w:rsid w:val="0096161A"/>
    <w:rsid w:val="009660D1"/>
    <w:rsid w:val="00966E01"/>
    <w:rsid w:val="00967E96"/>
    <w:rsid w:val="009900CF"/>
    <w:rsid w:val="00A017C7"/>
    <w:rsid w:val="00A20488"/>
    <w:rsid w:val="00A772D6"/>
    <w:rsid w:val="00A92B5C"/>
    <w:rsid w:val="00AD0D93"/>
    <w:rsid w:val="00B01DAA"/>
    <w:rsid w:val="00B06349"/>
    <w:rsid w:val="00B21F3C"/>
    <w:rsid w:val="00B8470F"/>
    <w:rsid w:val="00BB7E9E"/>
    <w:rsid w:val="00BE0DB0"/>
    <w:rsid w:val="00C507E5"/>
    <w:rsid w:val="00CE215F"/>
    <w:rsid w:val="00CE6474"/>
    <w:rsid w:val="00D00894"/>
    <w:rsid w:val="00D01668"/>
    <w:rsid w:val="00D42A60"/>
    <w:rsid w:val="00D82AA9"/>
    <w:rsid w:val="00DA174E"/>
    <w:rsid w:val="00E646B4"/>
    <w:rsid w:val="00EC77AB"/>
    <w:rsid w:val="00ED3B41"/>
    <w:rsid w:val="00FD6AC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6920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46B4"/>
    <w:pPr>
      <w:ind w:left="720"/>
      <w:contextualSpacing/>
    </w:pPr>
  </w:style>
  <w:style w:type="table" w:styleId="Tabellrutenett">
    <w:name w:val="Table Grid"/>
    <w:basedOn w:val="Vanligtabell"/>
    <w:uiPriority w:val="59"/>
    <w:rsid w:val="000A4039"/>
    <w:rPr>
      <w:rFonts w:ascii="Times New Roman" w:eastAsiaTheme="minorEastAsia"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545020"/>
    <w:rPr>
      <w:sz w:val="18"/>
      <w:szCs w:val="18"/>
    </w:rPr>
  </w:style>
  <w:style w:type="paragraph" w:styleId="Merknadstekst">
    <w:name w:val="annotation text"/>
    <w:basedOn w:val="Normal"/>
    <w:link w:val="MerknadstekstTegn"/>
    <w:uiPriority w:val="99"/>
    <w:semiHidden/>
    <w:unhideWhenUsed/>
    <w:rsid w:val="00545020"/>
  </w:style>
  <w:style w:type="character" w:customStyle="1" w:styleId="MerknadstekstTegn">
    <w:name w:val="Merknadstekst Tegn"/>
    <w:basedOn w:val="Standardskriftforavsnitt"/>
    <w:link w:val="Merknadstekst"/>
    <w:uiPriority w:val="99"/>
    <w:semiHidden/>
    <w:rsid w:val="00545020"/>
    <w:rPr>
      <w:lang w:val="en-US"/>
    </w:rPr>
  </w:style>
  <w:style w:type="paragraph" w:styleId="Kommentaremne">
    <w:name w:val="annotation subject"/>
    <w:basedOn w:val="Merknadstekst"/>
    <w:next w:val="Merknadstekst"/>
    <w:link w:val="KommentaremneTegn"/>
    <w:uiPriority w:val="99"/>
    <w:semiHidden/>
    <w:unhideWhenUsed/>
    <w:rsid w:val="00545020"/>
    <w:rPr>
      <w:b/>
      <w:bCs/>
      <w:sz w:val="20"/>
      <w:szCs w:val="20"/>
    </w:rPr>
  </w:style>
  <w:style w:type="character" w:customStyle="1" w:styleId="KommentaremneTegn">
    <w:name w:val="Kommentaremne Tegn"/>
    <w:basedOn w:val="MerknadstekstTegn"/>
    <w:link w:val="Kommentaremne"/>
    <w:uiPriority w:val="99"/>
    <w:semiHidden/>
    <w:rsid w:val="00545020"/>
    <w:rPr>
      <w:b/>
      <w:bCs/>
      <w:sz w:val="20"/>
      <w:szCs w:val="20"/>
      <w:lang w:val="en-US"/>
    </w:rPr>
  </w:style>
  <w:style w:type="paragraph" w:styleId="Bobletekst">
    <w:name w:val="Balloon Text"/>
    <w:basedOn w:val="Normal"/>
    <w:link w:val="BobletekstTegn"/>
    <w:uiPriority w:val="99"/>
    <w:semiHidden/>
    <w:unhideWhenUsed/>
    <w:rsid w:val="00545020"/>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545020"/>
    <w:rPr>
      <w:rFonts w:ascii="Times New Roman" w:hAnsi="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Lohndal</dc:creator>
  <cp:keywords/>
  <dc:description/>
  <cp:lastModifiedBy>Chamila Thushari Attanapola</cp:lastModifiedBy>
  <cp:revision>3</cp:revision>
  <dcterms:created xsi:type="dcterms:W3CDTF">2018-03-12T10:23:00Z</dcterms:created>
  <dcterms:modified xsi:type="dcterms:W3CDTF">2018-03-12T14:38:00Z</dcterms:modified>
</cp:coreProperties>
</file>