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AB" w:rsidRPr="001829AB" w:rsidRDefault="001829AB" w:rsidP="001829AB">
      <w:pPr>
        <w:pStyle w:val="Rentekst"/>
        <w:rPr>
          <w:b/>
          <w:sz w:val="28"/>
          <w:lang w:val="en-US"/>
        </w:rPr>
      </w:pPr>
      <w:bookmarkStart w:id="0" w:name="_GoBack"/>
      <w:r w:rsidRPr="001829AB">
        <w:rPr>
          <w:b/>
          <w:sz w:val="28"/>
          <w:lang w:val="en-US"/>
        </w:rPr>
        <w:t>Workshop on Artificial Language Learning</w:t>
      </w:r>
    </w:p>
    <w:bookmarkEnd w:id="0"/>
    <w:p w:rsidR="001829AB" w:rsidRDefault="001829AB" w:rsidP="001829AB">
      <w:pPr>
        <w:pStyle w:val="Rentekst"/>
        <w:rPr>
          <w:lang w:val="en-US"/>
        </w:rPr>
      </w:pPr>
    </w:p>
    <w:p w:rsid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 xml:space="preserve">April 16-17 (Monday &amp; Tuesday) 2018, </w:t>
      </w:r>
    </w:p>
    <w:p w:rsidR="001829AB" w:rsidRDefault="001829AB" w:rsidP="001829AB">
      <w:pPr>
        <w:pStyle w:val="Rentekst"/>
        <w:rPr>
          <w:lang w:val="en-US"/>
        </w:rPr>
      </w:pPr>
      <w:proofErr w:type="gramStart"/>
      <w:r w:rsidRPr="001829AB">
        <w:rPr>
          <w:lang w:val="en-US"/>
        </w:rPr>
        <w:t>on</w:t>
      </w:r>
      <w:proofErr w:type="gramEnd"/>
      <w:r w:rsidRPr="001829AB">
        <w:rPr>
          <w:lang w:val="en-US"/>
        </w:rPr>
        <w:t xml:space="preserve"> the 12</w:t>
      </w:r>
      <w:r>
        <w:rPr>
          <w:lang w:val="en-US"/>
        </w:rPr>
        <w:t xml:space="preserve">th floor of Niels </w:t>
      </w:r>
      <w:proofErr w:type="spellStart"/>
      <w:r>
        <w:rPr>
          <w:lang w:val="en-US"/>
        </w:rPr>
        <w:t>Treschows</w:t>
      </w:r>
      <w:proofErr w:type="spellEnd"/>
      <w:r>
        <w:rPr>
          <w:lang w:val="en-US"/>
        </w:rPr>
        <w:t xml:space="preserve"> Hus</w:t>
      </w:r>
    </w:p>
    <w:p w:rsidR="001829AB" w:rsidRPr="001829AB" w:rsidRDefault="001829AB" w:rsidP="001829AB">
      <w:pPr>
        <w:pStyle w:val="Rentekst"/>
        <w:rPr>
          <w:lang w:val="en-US"/>
        </w:rPr>
      </w:pPr>
      <w:proofErr w:type="spellStart"/>
      <w:r>
        <w:rPr>
          <w:lang w:val="en-US"/>
        </w:rPr>
        <w:t>UiO</w:t>
      </w:r>
      <w:proofErr w:type="spellEnd"/>
    </w:p>
    <w:p w:rsidR="001829AB" w:rsidRDefault="001829AB" w:rsidP="001829AB">
      <w:pPr>
        <w:pStyle w:val="Rentekst"/>
        <w:rPr>
          <w:lang w:val="en-US"/>
        </w:rPr>
      </w:pPr>
    </w:p>
    <w:p w:rsidR="001829AB" w:rsidRDefault="001829AB" w:rsidP="001829AB">
      <w:pPr>
        <w:pStyle w:val="Rentekst"/>
        <w:rPr>
          <w:lang w:val="en-US"/>
        </w:rPr>
      </w:pP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>Event Description:</w:t>
      </w: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 xml:space="preserve">In the last decades, experimental methods have become increasingly common in linguistic research. Artificial Language </w:t>
      </w:r>
      <w:proofErr w:type="gramStart"/>
      <w:r w:rsidRPr="001829AB">
        <w:rPr>
          <w:lang w:val="en-US"/>
        </w:rPr>
        <w:t>Learning</w:t>
      </w:r>
      <w:proofErr w:type="gramEnd"/>
      <w:r w:rsidRPr="001829AB">
        <w:rPr>
          <w:lang w:val="en-US"/>
        </w:rPr>
        <w:t xml:space="preserve"> (sometimes Artificial Grammar Learning) has proved to be an investigative tool that can provide insight into several different linguistics fields. It has been used in fields such as syntax (Culbertson &amp; </w:t>
      </w:r>
      <w:proofErr w:type="spellStart"/>
      <w:r w:rsidRPr="001829AB">
        <w:rPr>
          <w:lang w:val="en-US"/>
        </w:rPr>
        <w:t>Adger</w:t>
      </w:r>
      <w:proofErr w:type="spellEnd"/>
      <w:r w:rsidRPr="001829AB">
        <w:rPr>
          <w:lang w:val="en-US"/>
        </w:rPr>
        <w:t>, 2013), morphology (Hawkins &amp; Cutler, 1988), phonology (</w:t>
      </w:r>
      <w:proofErr w:type="spellStart"/>
      <w:r w:rsidRPr="001829AB">
        <w:rPr>
          <w:lang w:val="en-US"/>
        </w:rPr>
        <w:t>Pycha</w:t>
      </w:r>
      <w:proofErr w:type="spellEnd"/>
      <w:r w:rsidRPr="001829AB">
        <w:rPr>
          <w:lang w:val="en-US"/>
        </w:rPr>
        <w:t xml:space="preserve"> et al. 2003) and acquisition (</w:t>
      </w:r>
      <w:proofErr w:type="spellStart"/>
      <w:r w:rsidRPr="001829AB">
        <w:rPr>
          <w:lang w:val="en-US"/>
        </w:rPr>
        <w:t>Saffran</w:t>
      </w:r>
      <w:proofErr w:type="spellEnd"/>
      <w:r w:rsidRPr="001829AB">
        <w:rPr>
          <w:lang w:val="en-US"/>
        </w:rPr>
        <w:t xml:space="preserve"> &amp; Thiessen, 2003). The goal of this event is to look at the different ways in which Artificial Language Learning can aid linguistic inquiries. The method has provided new insight into typological </w:t>
      </w:r>
      <w:proofErr w:type="spellStart"/>
      <w:r w:rsidRPr="001829AB">
        <w:rPr>
          <w:lang w:val="en-US"/>
        </w:rPr>
        <w:t>generalisations</w:t>
      </w:r>
      <w:proofErr w:type="spellEnd"/>
      <w:r w:rsidRPr="001829AB">
        <w:rPr>
          <w:lang w:val="en-US"/>
        </w:rPr>
        <w:t>, language acquisition mechanisms, linguistic biases and language change.</w:t>
      </w:r>
    </w:p>
    <w:p w:rsidR="001829AB" w:rsidRPr="001829AB" w:rsidRDefault="001829AB" w:rsidP="001829AB">
      <w:pPr>
        <w:pStyle w:val="Rentekst"/>
        <w:rPr>
          <w:lang w:val="en-US"/>
        </w:rPr>
      </w:pP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>Speakers:</w:t>
      </w: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>Sara Finley (Pacific Lutheran University) Julian Kirkeby Lysvik (</w:t>
      </w:r>
      <w:proofErr w:type="spellStart"/>
      <w:r w:rsidRPr="001829AB">
        <w:rPr>
          <w:lang w:val="en-US"/>
        </w:rPr>
        <w:t>UiO</w:t>
      </w:r>
      <w:proofErr w:type="spellEnd"/>
      <w:r w:rsidRPr="001829AB">
        <w:rPr>
          <w:lang w:val="en-US"/>
        </w:rPr>
        <w:t xml:space="preserve">) Andrew Nevins (UCL) Katya </w:t>
      </w:r>
      <w:proofErr w:type="spellStart"/>
      <w:r w:rsidRPr="001829AB">
        <w:rPr>
          <w:lang w:val="en-US"/>
        </w:rPr>
        <w:t>Pertsova</w:t>
      </w:r>
      <w:proofErr w:type="spellEnd"/>
      <w:r w:rsidRPr="001829AB">
        <w:rPr>
          <w:lang w:val="en-US"/>
        </w:rPr>
        <w:t xml:space="preserve"> (UCN at Chapel Hill) Ruben van de </w:t>
      </w:r>
      <w:proofErr w:type="spellStart"/>
      <w:r w:rsidRPr="001829AB">
        <w:rPr>
          <w:lang w:val="en-US"/>
        </w:rPr>
        <w:t>Vijver</w:t>
      </w:r>
      <w:proofErr w:type="spellEnd"/>
      <w:r w:rsidRPr="001829AB">
        <w:rPr>
          <w:lang w:val="en-US"/>
        </w:rPr>
        <w:t xml:space="preserve"> (</w:t>
      </w:r>
      <w:proofErr w:type="spellStart"/>
      <w:r w:rsidRPr="001829AB">
        <w:rPr>
          <w:lang w:val="en-US"/>
        </w:rPr>
        <w:t>Universität</w:t>
      </w:r>
      <w:proofErr w:type="spellEnd"/>
      <w:r w:rsidRPr="001829AB">
        <w:rPr>
          <w:lang w:val="en-US"/>
        </w:rPr>
        <w:t xml:space="preserve"> Düsseldorf)</w:t>
      </w:r>
    </w:p>
    <w:p w:rsidR="001829AB" w:rsidRPr="001829AB" w:rsidRDefault="001829AB" w:rsidP="001829AB">
      <w:pPr>
        <w:pStyle w:val="Rentekst"/>
        <w:rPr>
          <w:lang w:val="en-US"/>
        </w:rPr>
      </w:pP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>Course requirements (for PhD students):</w:t>
      </w: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>In order to qualify for 2 ECTS points, participants are required to do the following:</w:t>
      </w:r>
    </w:p>
    <w:p w:rsidR="001829AB" w:rsidRPr="001829AB" w:rsidRDefault="001829AB" w:rsidP="001829AB">
      <w:pPr>
        <w:pStyle w:val="Rentekst"/>
        <w:rPr>
          <w:lang w:val="en-US"/>
        </w:rPr>
      </w:pP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 xml:space="preserve">  1) </w:t>
      </w:r>
      <w:proofErr w:type="gramStart"/>
      <w:r w:rsidRPr="001829AB">
        <w:rPr>
          <w:lang w:val="en-US"/>
        </w:rPr>
        <w:t>actively</w:t>
      </w:r>
      <w:proofErr w:type="gramEnd"/>
      <w:r w:rsidRPr="001829AB">
        <w:rPr>
          <w:lang w:val="en-US"/>
        </w:rPr>
        <w:t xml:space="preserve"> participate in debate / ask questions</w:t>
      </w: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 xml:space="preserve">  2) </w:t>
      </w:r>
      <w:proofErr w:type="gramStart"/>
      <w:r w:rsidRPr="001829AB">
        <w:rPr>
          <w:lang w:val="en-US"/>
        </w:rPr>
        <w:t>read</w:t>
      </w:r>
      <w:proofErr w:type="gramEnd"/>
      <w:r w:rsidRPr="001829AB">
        <w:rPr>
          <w:lang w:val="en-US"/>
        </w:rPr>
        <w:t xml:space="preserve"> the curriculum</w:t>
      </w: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 xml:space="preserve">  3) </w:t>
      </w:r>
      <w:proofErr w:type="gramStart"/>
      <w:r w:rsidRPr="001829AB">
        <w:rPr>
          <w:lang w:val="en-US"/>
        </w:rPr>
        <w:t>send</w:t>
      </w:r>
      <w:proofErr w:type="gramEnd"/>
      <w:r w:rsidRPr="001829AB">
        <w:rPr>
          <w:lang w:val="en-US"/>
        </w:rPr>
        <w:t xml:space="preserve"> in specific questions before the course to the presenters</w:t>
      </w: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 xml:space="preserve">  4) </w:t>
      </w:r>
      <w:proofErr w:type="gramStart"/>
      <w:r w:rsidRPr="001829AB">
        <w:rPr>
          <w:lang w:val="en-US"/>
        </w:rPr>
        <w:t>write</w:t>
      </w:r>
      <w:proofErr w:type="gramEnd"/>
      <w:r w:rsidRPr="001829AB">
        <w:rPr>
          <w:lang w:val="en-US"/>
        </w:rPr>
        <w:t xml:space="preserve"> a 2,000 word essay on how to apply the methodology to their own research</w:t>
      </w:r>
    </w:p>
    <w:p w:rsidR="001829AB" w:rsidRPr="001829AB" w:rsidRDefault="001829AB" w:rsidP="001829AB">
      <w:pPr>
        <w:pStyle w:val="Rentekst"/>
        <w:rPr>
          <w:lang w:val="en-US"/>
        </w:rPr>
      </w:pP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>Curriculum:</w:t>
      </w: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>Finley, S. (2017). Learning metathesis: Evidence for syllable structure constraints. Journal of Memory and Language 92, 142-157.</w:t>
      </w: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>Finley, S. (2017). Locality and harmony: Perspectives from artificial grammar learning. Language and Linguistics Compass 11, e12233.</w:t>
      </w:r>
    </w:p>
    <w:p w:rsidR="001829AB" w:rsidRPr="001829AB" w:rsidRDefault="001829AB" w:rsidP="001829AB">
      <w:pPr>
        <w:pStyle w:val="Rentekst"/>
        <w:rPr>
          <w:lang w:val="en-US"/>
        </w:rPr>
      </w:pPr>
      <w:proofErr w:type="gramStart"/>
      <w:r w:rsidRPr="001829AB">
        <w:rPr>
          <w:lang w:val="en-US"/>
        </w:rPr>
        <w:t>van</w:t>
      </w:r>
      <w:proofErr w:type="gramEnd"/>
      <w:r w:rsidRPr="001829AB">
        <w:rPr>
          <w:lang w:val="en-US"/>
        </w:rPr>
        <w:t xml:space="preserve"> de </w:t>
      </w:r>
      <w:proofErr w:type="spellStart"/>
      <w:r w:rsidRPr="001829AB">
        <w:rPr>
          <w:lang w:val="en-US"/>
        </w:rPr>
        <w:t>Vijver</w:t>
      </w:r>
      <w:proofErr w:type="spellEnd"/>
      <w:r w:rsidRPr="001829AB">
        <w:rPr>
          <w:lang w:val="en-US"/>
        </w:rPr>
        <w:t>, R. &amp; D. Baer-</w:t>
      </w:r>
      <w:proofErr w:type="spellStart"/>
      <w:r w:rsidRPr="001829AB">
        <w:rPr>
          <w:lang w:val="en-US"/>
        </w:rPr>
        <w:t>Henney</w:t>
      </w:r>
      <w:proofErr w:type="spellEnd"/>
      <w:r w:rsidRPr="001829AB">
        <w:rPr>
          <w:lang w:val="en-US"/>
        </w:rPr>
        <w:t xml:space="preserve"> (2014). Developing biases. Frontiers in Psychology 5, 1-8.</w:t>
      </w:r>
    </w:p>
    <w:p w:rsidR="001829AB" w:rsidRPr="001829AB" w:rsidRDefault="001829AB" w:rsidP="001829AB">
      <w:pPr>
        <w:pStyle w:val="Rentekst"/>
        <w:rPr>
          <w:lang w:val="en-US"/>
        </w:rPr>
      </w:pPr>
      <w:r w:rsidRPr="001829AB">
        <w:rPr>
          <w:lang w:val="en-US"/>
        </w:rPr>
        <w:t>Baer-</w:t>
      </w:r>
      <w:proofErr w:type="spellStart"/>
      <w:r w:rsidRPr="001829AB">
        <w:rPr>
          <w:lang w:val="en-US"/>
        </w:rPr>
        <w:t>Henney</w:t>
      </w:r>
      <w:proofErr w:type="spellEnd"/>
      <w:r w:rsidRPr="001829AB">
        <w:rPr>
          <w:lang w:val="en-US"/>
        </w:rPr>
        <w:t xml:space="preserve">, D. &amp; R. van de </w:t>
      </w:r>
      <w:proofErr w:type="spellStart"/>
      <w:r w:rsidRPr="001829AB">
        <w:rPr>
          <w:lang w:val="en-US"/>
        </w:rPr>
        <w:t>Vijver</w:t>
      </w:r>
      <w:proofErr w:type="spellEnd"/>
      <w:r w:rsidRPr="001829AB">
        <w:rPr>
          <w:lang w:val="en-US"/>
        </w:rPr>
        <w:t xml:space="preserve"> (2012). On the role of substance, locality and amount of exposure in the acquisition of morphophonemic alternations. Laboratory Phonology 3, 221-249.</w:t>
      </w:r>
    </w:p>
    <w:p w:rsidR="001829AB" w:rsidRDefault="001829AB" w:rsidP="001829AB">
      <w:pPr>
        <w:pStyle w:val="Rentekst"/>
      </w:pPr>
      <w:r w:rsidRPr="001829AB">
        <w:rPr>
          <w:lang w:val="en-US"/>
        </w:rPr>
        <w:t xml:space="preserve">Nevins, A. (2010) Two Case Studies in Phonological Universals: A View from Artificial Grammars. </w:t>
      </w:r>
      <w:proofErr w:type="spellStart"/>
      <w:r>
        <w:t>Biolinguistics</w:t>
      </w:r>
      <w:proofErr w:type="spellEnd"/>
      <w:r>
        <w:t xml:space="preserve"> 4, 218-233.</w:t>
      </w:r>
    </w:p>
    <w:p w:rsidR="00BE6C54" w:rsidRDefault="00BE6C54"/>
    <w:sectPr w:rsidR="00BE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B"/>
    <w:rsid w:val="001829AB"/>
    <w:rsid w:val="00B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389F-C0CC-4741-AC82-F07D6175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1829AB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829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1</cp:revision>
  <dcterms:created xsi:type="dcterms:W3CDTF">2018-03-09T12:12:00Z</dcterms:created>
  <dcterms:modified xsi:type="dcterms:W3CDTF">2018-03-09T12:14:00Z</dcterms:modified>
</cp:coreProperties>
</file>